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43" w:rsidRPr="00FC3E64" w:rsidRDefault="00FC3E64" w:rsidP="00FC3E64">
      <w:pPr>
        <w:pBdr>
          <w:top w:val="single" w:sz="4" w:space="1" w:color="auto"/>
          <w:left w:val="single" w:sz="4" w:space="4" w:color="auto"/>
          <w:bottom w:val="single" w:sz="4" w:space="1" w:color="auto"/>
          <w:right w:val="single" w:sz="4" w:space="4" w:color="auto"/>
        </w:pBdr>
        <w:jc w:val="center"/>
        <w:rPr>
          <w:b/>
        </w:rPr>
      </w:pPr>
      <w:r w:rsidRPr="00FC3E64">
        <w:rPr>
          <w:b/>
        </w:rPr>
        <w:t>NOTIONS ET DEFINITIONS</w:t>
      </w:r>
      <w:r>
        <w:rPr>
          <w:b/>
        </w:rPr>
        <w:t xml:space="preserve"> CHAPITRE 6</w:t>
      </w:r>
    </w:p>
    <w:p w:rsidR="00FC3E64" w:rsidRDefault="00FC3E64" w:rsidP="00FC3E64">
      <w:pPr>
        <w:jc w:val="both"/>
      </w:pPr>
    </w:p>
    <w:p w:rsidR="00FC3E64" w:rsidRPr="00EF0627" w:rsidRDefault="00FC3E64" w:rsidP="00FC3E64">
      <w:pPr>
        <w:pBdr>
          <w:top w:val="single" w:sz="12" w:space="1" w:color="800080"/>
          <w:left w:val="single" w:sz="12" w:space="4" w:color="800080"/>
          <w:bottom w:val="single" w:sz="12" w:space="1" w:color="800080"/>
          <w:right w:val="single" w:sz="12" w:space="4" w:color="800080"/>
        </w:pBdr>
        <w:jc w:val="center"/>
        <w:rPr>
          <w:b/>
        </w:rPr>
      </w:pPr>
      <w:r w:rsidRPr="00EF0627">
        <w:rPr>
          <w:b/>
        </w:rPr>
        <w:t>Ce que dit le programme :</w:t>
      </w:r>
    </w:p>
    <w:p w:rsidR="00FC3E64" w:rsidRPr="00EF0627" w:rsidRDefault="00FC3E64" w:rsidP="00FC3E64">
      <w:pPr>
        <w:pBdr>
          <w:top w:val="single" w:sz="12" w:space="1" w:color="800080"/>
          <w:left w:val="single" w:sz="12" w:space="4" w:color="800080"/>
          <w:bottom w:val="single" w:sz="12" w:space="1" w:color="800080"/>
          <w:right w:val="single" w:sz="12" w:space="4" w:color="800080"/>
        </w:pBdr>
        <w:jc w:val="center"/>
        <w:rPr>
          <w:b/>
        </w:rPr>
      </w:pPr>
    </w:p>
    <w:p w:rsidR="00FC3E64" w:rsidRPr="00EF0627" w:rsidRDefault="00FC3E64" w:rsidP="00FC3E64">
      <w:pPr>
        <w:numPr>
          <w:ilvl w:val="0"/>
          <w:numId w:val="1"/>
        </w:numPr>
        <w:pBdr>
          <w:top w:val="single" w:sz="12" w:space="1" w:color="800080"/>
          <w:left w:val="single" w:sz="12" w:space="4" w:color="800080"/>
          <w:bottom w:val="single" w:sz="12" w:space="1" w:color="800080"/>
          <w:right w:val="single" w:sz="12" w:space="4" w:color="800080"/>
        </w:pBdr>
        <w:autoSpaceDE w:val="0"/>
        <w:autoSpaceDN w:val="0"/>
        <w:adjustRightInd w:val="0"/>
        <w:jc w:val="both"/>
        <w:rPr>
          <w:b/>
          <w:u w:val="single"/>
        </w:rPr>
      </w:pPr>
      <w:r w:rsidRPr="00EF0627">
        <w:rPr>
          <w:b/>
          <w:u w:val="single"/>
        </w:rPr>
        <w:t xml:space="preserve">Comment les individus s'associent-ils pour constituer des groupes sociaux ? </w:t>
      </w:r>
    </w:p>
    <w:p w:rsidR="00FC3E64" w:rsidRPr="00EF0627" w:rsidRDefault="00FC3E64" w:rsidP="00FC3E64">
      <w:pPr>
        <w:pBdr>
          <w:top w:val="single" w:sz="12" w:space="1" w:color="800080"/>
          <w:left w:val="single" w:sz="12" w:space="4" w:color="800080"/>
          <w:bottom w:val="single" w:sz="12" w:space="1" w:color="800080"/>
          <w:right w:val="single" w:sz="12" w:space="4" w:color="800080"/>
        </w:pBdr>
        <w:autoSpaceDE w:val="0"/>
        <w:autoSpaceDN w:val="0"/>
        <w:adjustRightInd w:val="0"/>
        <w:jc w:val="both"/>
      </w:pPr>
      <w:r w:rsidRPr="00EF0627">
        <w:rPr>
          <w:b/>
          <w:bCs/>
          <w:i/>
          <w:iCs/>
        </w:rPr>
        <w:t xml:space="preserve">IC : </w:t>
      </w:r>
      <w:r w:rsidRPr="00EF0627">
        <w:rPr>
          <w:i/>
          <w:iCs/>
        </w:rPr>
        <w:t xml:space="preserve">On distinguera les groupes sociaux, caractérisés par l’existence d’interactions (directes ou indirectes) entre leurs membres et la conscience d’une appartenance commune (familles, collectifs de travail, associations...), ou des catégories statistiques (PCS, groupes d’âge…). On montrera que les groupes sociaux se différencient en fonction de leur taille, de leur rôle, de leur mode de fonctionnement et de leur degré de cohésion. On évoquera les situations où les individus prennent comme référence un autre groupe que celui auquel ils appartiennent. </w:t>
      </w:r>
    </w:p>
    <w:p w:rsidR="00FC3E64" w:rsidRPr="00EF0627" w:rsidRDefault="00FC3E64" w:rsidP="00FC3E64">
      <w:pPr>
        <w:pBdr>
          <w:top w:val="single" w:sz="12" w:space="1" w:color="800080"/>
          <w:left w:val="single" w:sz="12" w:space="4" w:color="800080"/>
          <w:bottom w:val="single" w:sz="12" w:space="1" w:color="800080"/>
          <w:right w:val="single" w:sz="12" w:space="4" w:color="800080"/>
        </w:pBdr>
        <w:jc w:val="both"/>
        <w:rPr>
          <w:b/>
          <w:bCs/>
          <w:i/>
          <w:iCs/>
        </w:rPr>
      </w:pPr>
      <w:r w:rsidRPr="00EF0627">
        <w:rPr>
          <w:b/>
          <w:bCs/>
          <w:i/>
          <w:iCs/>
        </w:rPr>
        <w:t>NOTIONS : Groupes primaire/secondaire, groupes d’appartenance/de référence</w:t>
      </w:r>
    </w:p>
    <w:p w:rsidR="00FC3E64" w:rsidRPr="00EF0627" w:rsidRDefault="00FC3E64" w:rsidP="00FC3E64">
      <w:pPr>
        <w:pBdr>
          <w:top w:val="single" w:sz="12" w:space="1" w:color="800080"/>
          <w:left w:val="single" w:sz="12" w:space="4" w:color="800080"/>
          <w:bottom w:val="single" w:sz="12" w:space="1" w:color="800080"/>
          <w:right w:val="single" w:sz="12" w:space="4" w:color="800080"/>
        </w:pBdr>
        <w:jc w:val="both"/>
        <w:rPr>
          <w:b/>
          <w:bCs/>
          <w:i/>
          <w:iCs/>
        </w:rPr>
      </w:pPr>
    </w:p>
    <w:p w:rsidR="00FC3E64" w:rsidRPr="00EF0627" w:rsidRDefault="00FC3E64" w:rsidP="00FC3E64">
      <w:pPr>
        <w:numPr>
          <w:ilvl w:val="0"/>
          <w:numId w:val="1"/>
        </w:numPr>
        <w:pBdr>
          <w:top w:val="single" w:sz="12" w:space="1" w:color="800080"/>
          <w:left w:val="single" w:sz="12" w:space="4" w:color="800080"/>
          <w:bottom w:val="single" w:sz="12" w:space="1" w:color="800080"/>
          <w:right w:val="single" w:sz="12" w:space="4" w:color="800080"/>
        </w:pBdr>
        <w:autoSpaceDE w:val="0"/>
        <w:autoSpaceDN w:val="0"/>
        <w:adjustRightInd w:val="0"/>
        <w:jc w:val="both"/>
        <w:rPr>
          <w:b/>
          <w:u w:val="single"/>
        </w:rPr>
      </w:pPr>
      <w:r w:rsidRPr="00EF0627">
        <w:rPr>
          <w:b/>
          <w:u w:val="single"/>
        </w:rPr>
        <w:t xml:space="preserve">Comment les réseaux sociaux fonctionnent-ils ?  </w:t>
      </w:r>
    </w:p>
    <w:p w:rsidR="00FC3E64" w:rsidRPr="00EF0627" w:rsidRDefault="00FC3E64" w:rsidP="00FC3E64">
      <w:pPr>
        <w:pBdr>
          <w:top w:val="single" w:sz="12" w:space="1" w:color="800080"/>
          <w:left w:val="single" w:sz="12" w:space="4" w:color="800080"/>
          <w:bottom w:val="single" w:sz="12" w:space="1" w:color="800080"/>
          <w:right w:val="single" w:sz="12" w:space="4" w:color="800080"/>
        </w:pBdr>
        <w:autoSpaceDE w:val="0"/>
        <w:autoSpaceDN w:val="0"/>
        <w:adjustRightInd w:val="0"/>
        <w:jc w:val="both"/>
      </w:pPr>
      <w:r w:rsidRPr="00EF0627">
        <w:rPr>
          <w:b/>
          <w:bCs/>
          <w:i/>
          <w:iCs/>
        </w:rPr>
        <w:t xml:space="preserve">IC : </w:t>
      </w:r>
      <w:r w:rsidRPr="00EF0627">
        <w:t>On</w:t>
      </w:r>
      <w:r w:rsidRPr="00EF0627">
        <w:rPr>
          <w:i/>
          <w:iCs/>
        </w:rPr>
        <w:t xml:space="preserve"> montrera que les réseaux sociaux constituent une forme spécifique de coordination entre acteurs et de sociabilité (réseaux internet, associations d’anciens élèves...). On pourra présenter quelques exemples très simples de structuration de réseaux sans entrer dans la théorie des graphes. On s’intéressera surtout au rôle des réseaux en matière de recherche d’emploi en discutant  plus  particulièrement la thèse de « la force des liens faibles ». </w:t>
      </w:r>
    </w:p>
    <w:p w:rsidR="00FC3E64" w:rsidRPr="00EF0627" w:rsidRDefault="00FC3E64" w:rsidP="00FC3E64">
      <w:pPr>
        <w:pBdr>
          <w:top w:val="single" w:sz="12" w:space="1" w:color="800080"/>
          <w:left w:val="single" w:sz="12" w:space="4" w:color="800080"/>
          <w:bottom w:val="single" w:sz="12" w:space="1" w:color="800080"/>
          <w:right w:val="single" w:sz="12" w:space="4" w:color="800080"/>
        </w:pBdr>
        <w:jc w:val="both"/>
        <w:rPr>
          <w:b/>
          <w:bCs/>
          <w:i/>
          <w:iCs/>
        </w:rPr>
      </w:pPr>
      <w:r w:rsidRPr="00EF0627">
        <w:rPr>
          <w:b/>
          <w:bCs/>
          <w:i/>
          <w:iCs/>
        </w:rPr>
        <w:t>NOTIONS : Capital social, sociabilité.</w:t>
      </w:r>
    </w:p>
    <w:p w:rsidR="00FC3E64" w:rsidRDefault="00FC3E64" w:rsidP="00FC3E64">
      <w:pPr>
        <w:jc w:val="both"/>
      </w:pPr>
    </w:p>
    <w:p w:rsidR="005F4789" w:rsidRPr="005F4789" w:rsidRDefault="005F4789" w:rsidP="005F4789">
      <w:pPr>
        <w:tabs>
          <w:tab w:val="num" w:pos="567"/>
        </w:tabs>
        <w:autoSpaceDE w:val="0"/>
        <w:jc w:val="both"/>
        <w:rPr>
          <w:i/>
        </w:rPr>
      </w:pPr>
      <w:r w:rsidRPr="005F4789">
        <w:rPr>
          <w:b/>
          <w:i/>
        </w:rPr>
        <w:t>Agrégat physique </w:t>
      </w:r>
    </w:p>
    <w:p w:rsidR="005F4789" w:rsidRPr="005F4789" w:rsidRDefault="005F4789" w:rsidP="005F4789">
      <w:pPr>
        <w:autoSpaceDE w:val="0"/>
        <w:jc w:val="both"/>
      </w:pPr>
      <w:r w:rsidRPr="005F4789">
        <w:t xml:space="preserve">Ensemble de personnes qui se trouvent à un même endroit et qui n’ont pas de relations particulières entre elles. </w:t>
      </w:r>
    </w:p>
    <w:p w:rsidR="005F4789" w:rsidRDefault="005F4789" w:rsidP="005F4789">
      <w:pPr>
        <w:tabs>
          <w:tab w:val="num" w:pos="567"/>
          <w:tab w:val="left" w:pos="1418"/>
        </w:tabs>
        <w:autoSpaceDE w:val="0"/>
        <w:jc w:val="both"/>
        <w:rPr>
          <w:b/>
          <w:i/>
        </w:rPr>
      </w:pPr>
    </w:p>
    <w:p w:rsidR="005F4789" w:rsidRPr="005F4789" w:rsidRDefault="005F4789" w:rsidP="005F4789">
      <w:pPr>
        <w:tabs>
          <w:tab w:val="num" w:pos="567"/>
          <w:tab w:val="left" w:pos="1418"/>
        </w:tabs>
        <w:autoSpaceDE w:val="0"/>
        <w:jc w:val="both"/>
        <w:rPr>
          <w:i/>
        </w:rPr>
      </w:pPr>
      <w:r w:rsidRPr="005F4789">
        <w:rPr>
          <w:b/>
          <w:i/>
        </w:rPr>
        <w:t>Catégorie statistique</w:t>
      </w:r>
      <w:r>
        <w:rPr>
          <w:i/>
        </w:rPr>
        <w:t> </w:t>
      </w:r>
      <w:r w:rsidRPr="005F4789">
        <w:rPr>
          <w:i/>
        </w:rPr>
        <w:t xml:space="preserve"> </w:t>
      </w:r>
    </w:p>
    <w:p w:rsidR="005F4789" w:rsidRPr="005F4789" w:rsidRDefault="005F4789" w:rsidP="005F4789">
      <w:pPr>
        <w:tabs>
          <w:tab w:val="left" w:pos="1418"/>
        </w:tabs>
        <w:autoSpaceDE w:val="0"/>
        <w:jc w:val="both"/>
      </w:pPr>
      <w:r w:rsidRPr="005F4789">
        <w:t>Collection d’individus créée par le sociologue pour ses besoins de recherche.</w:t>
      </w:r>
    </w:p>
    <w:p w:rsidR="005F4789" w:rsidRDefault="005F4789" w:rsidP="00FC3E64">
      <w:pPr>
        <w:jc w:val="both"/>
      </w:pPr>
    </w:p>
    <w:p w:rsidR="00FC3E64" w:rsidRDefault="00FC3E64" w:rsidP="00FC3E64">
      <w:pPr>
        <w:jc w:val="both"/>
        <w:rPr>
          <w:b/>
          <w:bCs/>
          <w:i/>
          <w:iCs/>
        </w:rPr>
      </w:pPr>
      <w:r w:rsidRPr="00EF0627">
        <w:rPr>
          <w:b/>
          <w:bCs/>
          <w:i/>
          <w:iCs/>
        </w:rPr>
        <w:t>Capital social</w:t>
      </w:r>
    </w:p>
    <w:p w:rsidR="005F4789" w:rsidRPr="005F4789" w:rsidRDefault="005F4789" w:rsidP="00FC3E64">
      <w:pPr>
        <w:jc w:val="both"/>
        <w:rPr>
          <w:iCs/>
          <w:color w:val="000000"/>
        </w:rPr>
      </w:pPr>
      <w:r w:rsidRPr="005F4789">
        <w:rPr>
          <w:iCs/>
          <w:color w:val="000000"/>
        </w:rPr>
        <w:t>Le capital social est l’ensemble des ressources actuelles ou potentielles qui sont liées à la possession d’un réseau durable de relations plus ou moins institutionnalisées d’interconnaissance et d’</w:t>
      </w:r>
      <w:proofErr w:type="spellStart"/>
      <w:r w:rsidRPr="005F4789">
        <w:rPr>
          <w:iCs/>
          <w:color w:val="000000"/>
        </w:rPr>
        <w:t>interreconnaissance</w:t>
      </w:r>
      <w:proofErr w:type="spellEnd"/>
      <w:r>
        <w:rPr>
          <w:iCs/>
          <w:color w:val="000000"/>
        </w:rPr>
        <w:t>.</w:t>
      </w:r>
    </w:p>
    <w:p w:rsidR="005F4789" w:rsidRPr="005F4789" w:rsidRDefault="005F4789" w:rsidP="00FC3E64">
      <w:pPr>
        <w:jc w:val="both"/>
        <w:rPr>
          <w:b/>
          <w:bCs/>
          <w:i/>
          <w:iCs/>
        </w:rPr>
      </w:pPr>
    </w:p>
    <w:p w:rsidR="005F4789" w:rsidRPr="005F4789" w:rsidRDefault="005F4789" w:rsidP="00FC3E64">
      <w:pPr>
        <w:jc w:val="both"/>
        <w:rPr>
          <w:b/>
          <w:bCs/>
          <w:i/>
          <w:iCs/>
        </w:rPr>
      </w:pPr>
      <w:r w:rsidRPr="005F4789">
        <w:rPr>
          <w:b/>
          <w:bCs/>
          <w:i/>
          <w:iCs/>
        </w:rPr>
        <w:t>Force du lien</w:t>
      </w:r>
    </w:p>
    <w:p w:rsidR="005F4789" w:rsidRPr="005F4789" w:rsidRDefault="005F4789" w:rsidP="00FC3E64">
      <w:pPr>
        <w:jc w:val="both"/>
        <w:rPr>
          <w:b/>
          <w:bCs/>
          <w:i/>
          <w:iCs/>
        </w:rPr>
      </w:pPr>
      <w:r w:rsidRPr="005F4789">
        <w:t>La force du lien est une combinaison de la quantité de temps, de l’intensité émotionnelle, de l’intimité (confiance mutuelle) et des services réciproques qui caractérisent ce lien</w:t>
      </w:r>
      <w:r>
        <w:t>.</w:t>
      </w:r>
    </w:p>
    <w:p w:rsidR="005F4789" w:rsidRDefault="005F4789" w:rsidP="00FC3E64">
      <w:pPr>
        <w:jc w:val="both"/>
        <w:rPr>
          <w:b/>
          <w:bCs/>
          <w:i/>
          <w:iCs/>
        </w:rPr>
      </w:pPr>
    </w:p>
    <w:p w:rsidR="005F4789" w:rsidRPr="005F4789" w:rsidRDefault="005F4789" w:rsidP="005F4789">
      <w:pPr>
        <w:shd w:val="clear" w:color="auto" w:fill="CCCCCC"/>
        <w:jc w:val="both"/>
        <w:rPr>
          <w:b/>
          <w:i/>
        </w:rPr>
      </w:pPr>
      <w:r w:rsidRPr="005F4789">
        <w:rPr>
          <w:b/>
          <w:i/>
        </w:rPr>
        <w:t>Groupe d’appartenance </w:t>
      </w:r>
    </w:p>
    <w:p w:rsidR="005F4789" w:rsidRPr="005F4789" w:rsidRDefault="005F4789" w:rsidP="005F4789">
      <w:pPr>
        <w:shd w:val="clear" w:color="auto" w:fill="CCCCCC"/>
        <w:jc w:val="both"/>
      </w:pPr>
      <w:r w:rsidRPr="005F4789">
        <w:t>Groupe auquel l’individu appartient objectivement.</w:t>
      </w:r>
    </w:p>
    <w:p w:rsidR="00FC3E64" w:rsidRPr="005F4789" w:rsidRDefault="00FC3E64" w:rsidP="005F4789">
      <w:pPr>
        <w:jc w:val="both"/>
      </w:pPr>
    </w:p>
    <w:p w:rsidR="005F4789" w:rsidRPr="005F4789" w:rsidRDefault="005F4789" w:rsidP="005F4789">
      <w:pPr>
        <w:shd w:val="clear" w:color="auto" w:fill="CCCCCC"/>
        <w:jc w:val="both"/>
        <w:rPr>
          <w:b/>
          <w:i/>
        </w:rPr>
      </w:pPr>
      <w:r w:rsidRPr="005F4789">
        <w:rPr>
          <w:b/>
          <w:i/>
        </w:rPr>
        <w:t>Groupe de référence </w:t>
      </w:r>
    </w:p>
    <w:p w:rsidR="005F4789" w:rsidRPr="005F4789" w:rsidRDefault="005F4789" w:rsidP="005F4789">
      <w:pPr>
        <w:shd w:val="clear" w:color="auto" w:fill="CCCCCC"/>
        <w:jc w:val="both"/>
      </w:pPr>
      <w:r w:rsidRPr="005F4789">
        <w:t>Groupe auquel s’identifie l’individu, et auquel il emprunte les valeurs et normes, et cherche à donc à adopter le style de vie</w:t>
      </w:r>
    </w:p>
    <w:p w:rsidR="00FC3E64" w:rsidRDefault="00FC3E64" w:rsidP="00FC3E64">
      <w:pPr>
        <w:jc w:val="both"/>
      </w:pPr>
    </w:p>
    <w:p w:rsidR="00FC3E64" w:rsidRDefault="00FC3E64" w:rsidP="00FC3E64">
      <w:pPr>
        <w:jc w:val="both"/>
        <w:rPr>
          <w:b/>
          <w:bCs/>
          <w:i/>
          <w:iCs/>
        </w:rPr>
      </w:pPr>
      <w:r>
        <w:rPr>
          <w:b/>
          <w:bCs/>
          <w:i/>
          <w:iCs/>
        </w:rPr>
        <w:t>Groupes primaire/secondaire</w:t>
      </w:r>
    </w:p>
    <w:p w:rsidR="004757A3" w:rsidRPr="004757A3" w:rsidRDefault="004757A3" w:rsidP="004757A3">
      <w:pPr>
        <w:widowControl w:val="0"/>
        <w:suppressAutoHyphens/>
        <w:autoSpaceDE w:val="0"/>
        <w:jc w:val="both"/>
        <w:rPr>
          <w:rFonts w:eastAsia="Calibri"/>
          <w:bCs/>
          <w:iCs/>
        </w:rPr>
      </w:pPr>
      <w:r w:rsidRPr="004757A3">
        <w:rPr>
          <w:rFonts w:eastAsia="Calibri"/>
          <w:bCs/>
          <w:spacing w:val="14"/>
        </w:rPr>
        <w:t>Les groupes prim</w:t>
      </w:r>
      <w:r w:rsidRPr="004757A3">
        <w:rPr>
          <w:rFonts w:eastAsia="Calibri"/>
          <w:bCs/>
          <w:spacing w:val="7"/>
        </w:rPr>
        <w:t xml:space="preserve">aires, qui sont généralement de petite taille, sont </w:t>
      </w:r>
      <w:r w:rsidRPr="004757A3">
        <w:rPr>
          <w:rFonts w:eastAsia="Calibri"/>
          <w:bCs/>
          <w:spacing w:val="4"/>
        </w:rPr>
        <w:t>définis comme des groupes de face à face ou domin</w:t>
      </w:r>
      <w:r w:rsidRPr="004757A3">
        <w:rPr>
          <w:rFonts w:eastAsia="Calibri"/>
          <w:bCs/>
          <w:spacing w:val="-2"/>
        </w:rPr>
        <w:t>ent les rapports interpersonnels</w:t>
      </w:r>
      <w:r w:rsidRPr="004757A3">
        <w:rPr>
          <w:rFonts w:eastAsia="Calibri"/>
          <w:spacing w:val="-2"/>
        </w:rPr>
        <w:t>. L'identification des individ</w:t>
      </w:r>
      <w:r w:rsidRPr="004757A3">
        <w:rPr>
          <w:rFonts w:eastAsia="Calibri"/>
        </w:rPr>
        <w:t xml:space="preserve">us au collectif est forte et les rapports de sympathie, de </w:t>
      </w:r>
      <w:r w:rsidRPr="004757A3">
        <w:rPr>
          <w:rFonts w:eastAsia="Calibri"/>
          <w:spacing w:val="-1"/>
        </w:rPr>
        <w:t xml:space="preserve">coopération et d'aide </w:t>
      </w:r>
      <w:r w:rsidRPr="004757A3">
        <w:rPr>
          <w:rFonts w:eastAsia="Calibri"/>
          <w:spacing w:val="-1"/>
        </w:rPr>
        <w:lastRenderedPageBreak/>
        <w:t xml:space="preserve">mutuelle dominent au sein du groupe. </w:t>
      </w:r>
      <w:r w:rsidRPr="004757A3">
        <w:rPr>
          <w:rFonts w:eastAsia="Calibri"/>
          <w:spacing w:val="1"/>
        </w:rPr>
        <w:t xml:space="preserve">Charles </w:t>
      </w:r>
      <w:r w:rsidRPr="004757A3">
        <w:rPr>
          <w:rFonts w:eastAsia="Calibri"/>
        </w:rPr>
        <w:t xml:space="preserve">H. Cooley identifie </w:t>
      </w:r>
      <w:r w:rsidRPr="004757A3">
        <w:rPr>
          <w:rFonts w:eastAsia="Calibri"/>
          <w:bCs/>
          <w:iCs/>
        </w:rPr>
        <w:t xml:space="preserve">trois groupes primaires principaux : la famille, le groupe de camarades et le groupe de voisinage. </w:t>
      </w:r>
    </w:p>
    <w:p w:rsidR="004757A3" w:rsidRPr="004757A3" w:rsidRDefault="004757A3" w:rsidP="004757A3">
      <w:pPr>
        <w:widowControl w:val="0"/>
        <w:suppressAutoHyphens/>
        <w:autoSpaceDE w:val="0"/>
        <w:ind w:right="144"/>
        <w:jc w:val="both"/>
        <w:rPr>
          <w:rFonts w:eastAsia="Calibri"/>
          <w:spacing w:val="-1"/>
        </w:rPr>
      </w:pPr>
      <w:r w:rsidRPr="004757A3">
        <w:rPr>
          <w:rFonts w:eastAsia="Calibri"/>
          <w:bCs/>
        </w:rPr>
        <w:t xml:space="preserve">Les groupes secondaires, généralement de taille plus </w:t>
      </w:r>
      <w:r w:rsidRPr="004757A3">
        <w:rPr>
          <w:rFonts w:eastAsia="Calibri"/>
          <w:bCs/>
          <w:spacing w:val="6"/>
        </w:rPr>
        <w:t>grande, sont caractérisés par des relations plus superfic</w:t>
      </w:r>
      <w:r w:rsidRPr="004757A3">
        <w:rPr>
          <w:rFonts w:eastAsia="Calibri"/>
          <w:bCs/>
          <w:spacing w:val="-1"/>
        </w:rPr>
        <w:t>ielles, reposant principalement sur des bases utilitaires</w:t>
      </w:r>
      <w:r w:rsidRPr="004757A3">
        <w:rPr>
          <w:rFonts w:eastAsia="Calibri"/>
          <w:spacing w:val="-1"/>
        </w:rPr>
        <w:t>. L</w:t>
      </w:r>
      <w:r w:rsidRPr="004757A3">
        <w:rPr>
          <w:rFonts w:eastAsia="Calibri"/>
        </w:rPr>
        <w:t>es groupes de défense d'intérêts tels que les partis politiques, les syndicats et les associations constituent de bons exemples de groupes secondaires. Ils ne concern</w:t>
      </w:r>
      <w:r w:rsidRPr="004757A3">
        <w:rPr>
          <w:rFonts w:eastAsia="Calibri"/>
          <w:spacing w:val="-2"/>
        </w:rPr>
        <w:t xml:space="preserve">ent qu'une partie de la vie des individus et ne les engagent </w:t>
      </w:r>
      <w:r w:rsidRPr="004757A3">
        <w:rPr>
          <w:rFonts w:eastAsia="Calibri"/>
          <w:spacing w:val="10"/>
        </w:rPr>
        <w:t xml:space="preserve">pas au niveau de leur personnalité toute entière. </w:t>
      </w:r>
    </w:p>
    <w:p w:rsidR="005F4789" w:rsidRDefault="005F4789" w:rsidP="00FC3E64">
      <w:pPr>
        <w:jc w:val="both"/>
        <w:rPr>
          <w:b/>
          <w:bCs/>
          <w:i/>
          <w:iCs/>
        </w:rPr>
      </w:pPr>
    </w:p>
    <w:p w:rsidR="005F4789" w:rsidRPr="005F4789" w:rsidRDefault="005F4789" w:rsidP="005F4789">
      <w:pPr>
        <w:tabs>
          <w:tab w:val="num" w:pos="567"/>
        </w:tabs>
        <w:autoSpaceDE w:val="0"/>
        <w:jc w:val="both"/>
        <w:rPr>
          <w:i/>
        </w:rPr>
      </w:pPr>
      <w:r w:rsidRPr="005F4789">
        <w:rPr>
          <w:b/>
          <w:i/>
        </w:rPr>
        <w:t>Groupe social </w:t>
      </w:r>
    </w:p>
    <w:p w:rsidR="005F4789" w:rsidRPr="005F4789" w:rsidRDefault="005F4789" w:rsidP="005F4789">
      <w:pPr>
        <w:autoSpaceDE w:val="0"/>
        <w:jc w:val="both"/>
      </w:pPr>
      <w:r w:rsidRPr="005F4789">
        <w:t>Ensemble de personnes nouant entre elles des relations, et ayant le sentiment d’appartenir à ce groupe et reconnu comme tel par ceux qui y sont extérieurs.</w:t>
      </w:r>
    </w:p>
    <w:p w:rsidR="005F4789" w:rsidRDefault="005F4789" w:rsidP="00FC3E64">
      <w:pPr>
        <w:jc w:val="both"/>
        <w:rPr>
          <w:b/>
          <w:bCs/>
          <w:i/>
          <w:iCs/>
        </w:rPr>
      </w:pPr>
    </w:p>
    <w:p w:rsidR="00FC3E64" w:rsidRPr="004757A3" w:rsidRDefault="005F4789" w:rsidP="00FC3E64">
      <w:pPr>
        <w:jc w:val="both"/>
        <w:rPr>
          <w:b/>
          <w:bCs/>
          <w:i/>
          <w:iCs/>
        </w:rPr>
      </w:pPr>
      <w:r w:rsidRPr="004757A3">
        <w:rPr>
          <w:b/>
          <w:bCs/>
          <w:i/>
          <w:iCs/>
        </w:rPr>
        <w:t>Réseau social</w:t>
      </w:r>
    </w:p>
    <w:p w:rsidR="005F4789" w:rsidRPr="004757A3" w:rsidRDefault="005F4789" w:rsidP="005F4789">
      <w:pPr>
        <w:jc w:val="both"/>
      </w:pPr>
      <w:r w:rsidRPr="004757A3">
        <w:t xml:space="preserve">Un réseau social,  peut être ici défini  comme constitué d'un ensemble d'unités sociales et des relations que ces unités sociales entretiennent les unes avec les autres, directement, ou indirectement. </w:t>
      </w:r>
    </w:p>
    <w:p w:rsidR="005F4789" w:rsidRPr="004757A3" w:rsidRDefault="005F4789" w:rsidP="005F4789">
      <w:pPr>
        <w:jc w:val="both"/>
      </w:pPr>
      <w:r w:rsidRPr="004757A3">
        <w:t>Ces unités sociales peuvent être des individus, des groupes informels d'individus ou bien des organisations plus formelles, comme des associations, des entreprises, voire des pays. Les relations entre les éléments désignent des formes d'interactions sociales qui peuvent être elles aussi de natures extrêmement diverses : il peut s'agir de transactions monétaires, de transferts de biens ou d'échanges de services, de transmissions d'informations,  de contacts physiques et plus généralement de toutes sortes d'interactions verbales ou gestuelles, ou encore de la participation commune à un même événement, etc. </w:t>
      </w:r>
    </w:p>
    <w:p w:rsidR="005F4789" w:rsidRPr="004757A3" w:rsidRDefault="005F4789" w:rsidP="00FC3E64">
      <w:pPr>
        <w:jc w:val="both"/>
        <w:rPr>
          <w:b/>
          <w:bCs/>
          <w:i/>
          <w:iCs/>
        </w:rPr>
      </w:pPr>
    </w:p>
    <w:p w:rsidR="00FC3E64" w:rsidRPr="004757A3" w:rsidRDefault="00FC3E64" w:rsidP="00FC3E64">
      <w:pPr>
        <w:jc w:val="both"/>
        <w:rPr>
          <w:b/>
          <w:bCs/>
          <w:i/>
          <w:iCs/>
        </w:rPr>
      </w:pPr>
      <w:r w:rsidRPr="004757A3">
        <w:rPr>
          <w:b/>
          <w:bCs/>
          <w:i/>
          <w:iCs/>
        </w:rPr>
        <w:t>Sociabilité</w:t>
      </w:r>
    </w:p>
    <w:p w:rsidR="005F4789" w:rsidRPr="004757A3" w:rsidRDefault="005F4789" w:rsidP="005F4789">
      <w:pPr>
        <w:jc w:val="both"/>
      </w:pPr>
      <w:r w:rsidRPr="004757A3">
        <w:t xml:space="preserve">Ensemble des relations qu'un individu entretient concrètement avec les autres, et des formes que prennent ces relations. </w:t>
      </w:r>
      <w:r w:rsidRPr="004757A3">
        <w:rPr>
          <w:bCs/>
        </w:rPr>
        <w:t>Concrètement la sociabilité peut se définir</w:t>
      </w:r>
      <w:r w:rsidRPr="004757A3">
        <w:t xml:space="preserve"> comme l’ensemble des relations fréquentes, quotidiennes et continues qu’un individu crée au sein d’un groupe de personnes.  </w:t>
      </w:r>
    </w:p>
    <w:p w:rsidR="00FC3E64" w:rsidRPr="004757A3" w:rsidRDefault="00FC3E64" w:rsidP="00FC3E64">
      <w:pPr>
        <w:jc w:val="both"/>
        <w:rPr>
          <w:b/>
          <w:bCs/>
          <w:i/>
          <w:iCs/>
        </w:rPr>
      </w:pPr>
    </w:p>
    <w:p w:rsidR="00FC3E64" w:rsidRPr="004757A3" w:rsidRDefault="00FC3E64" w:rsidP="00FC3E64">
      <w:pPr>
        <w:jc w:val="both"/>
      </w:pPr>
      <w:bookmarkStart w:id="0" w:name="_GoBack"/>
      <w:bookmarkEnd w:id="0"/>
    </w:p>
    <w:p w:rsidR="004757A3" w:rsidRPr="004757A3" w:rsidRDefault="004757A3">
      <w:pPr>
        <w:jc w:val="both"/>
      </w:pPr>
    </w:p>
    <w:sectPr w:rsidR="004757A3" w:rsidRPr="004757A3" w:rsidSect="00C92A3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6"/>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C5C22DC"/>
    <w:multiLevelType w:val="hybridMultilevel"/>
    <w:tmpl w:val="981AC052"/>
    <w:lvl w:ilvl="0" w:tplc="4CC8FD4A">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7870C60"/>
    <w:multiLevelType w:val="hybridMultilevel"/>
    <w:tmpl w:val="3188ACEC"/>
    <w:lvl w:ilvl="0" w:tplc="6B58AFBE">
      <w:start w:val="1"/>
      <w:numFmt w:val="bullet"/>
      <w:lvlText w:val=""/>
      <w:lvlJc w:val="left"/>
      <w:pPr>
        <w:tabs>
          <w:tab w:val="num" w:pos="927"/>
        </w:tabs>
        <w:ind w:left="360"/>
      </w:pPr>
      <w:rPr>
        <w:rFonts w:ascii="Wingdings" w:hAnsi="Wingdings" w:hint="default"/>
        <w:b/>
      </w:rPr>
    </w:lvl>
    <w:lvl w:ilvl="1" w:tplc="37449CA8">
      <w:start w:val="1"/>
      <w:numFmt w:val="decimal"/>
      <w:lvlText w:val="%2."/>
      <w:lvlJc w:val="left"/>
      <w:pPr>
        <w:tabs>
          <w:tab w:val="num" w:pos="1440"/>
        </w:tabs>
        <w:ind w:left="1440" w:hanging="360"/>
      </w:pPr>
      <w:rPr>
        <w:rFonts w:cs="Times New Roman" w:hint="default"/>
        <w:b/>
      </w:rPr>
    </w:lvl>
    <w:lvl w:ilvl="2" w:tplc="035EA09E">
      <w:numFmt w:val="bullet"/>
      <w:lvlText w:val="-"/>
      <w:lvlJc w:val="left"/>
      <w:pPr>
        <w:tabs>
          <w:tab w:val="num" w:pos="2264"/>
        </w:tabs>
        <w:ind w:left="1980"/>
      </w:pPr>
      <w:rPr>
        <w:rFonts w:ascii="Arial" w:eastAsia="Times New Roman" w:hAnsi="Arial" w:hint="default"/>
        <w:b w:val="0"/>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75D4088E"/>
    <w:multiLevelType w:val="hybridMultilevel"/>
    <w:tmpl w:val="584CBE56"/>
    <w:lvl w:ilvl="0" w:tplc="9E243ABC">
      <w:start w:val="1"/>
      <w:numFmt w:val="decimal"/>
      <w:lvlText w:val="%1."/>
      <w:lvlJc w:val="left"/>
      <w:pPr>
        <w:tabs>
          <w:tab w:val="num" w:pos="360"/>
        </w:tabs>
        <w:ind w:left="360" w:hanging="360"/>
      </w:pPr>
      <w:rPr>
        <w:rFonts w:ascii="Arial" w:hAnsi="Arial" w:cs="Arial" w:hint="default"/>
        <w:b/>
      </w:rPr>
    </w:lvl>
    <w:lvl w:ilvl="1" w:tplc="040C0019" w:tentative="1">
      <w:start w:val="1"/>
      <w:numFmt w:val="lowerLetter"/>
      <w:lvlText w:val="%2."/>
      <w:lvlJc w:val="left"/>
      <w:pPr>
        <w:tabs>
          <w:tab w:val="num" w:pos="-336"/>
        </w:tabs>
        <w:ind w:left="-336" w:hanging="360"/>
      </w:pPr>
      <w:rPr>
        <w:rFonts w:cs="Times New Roman"/>
      </w:rPr>
    </w:lvl>
    <w:lvl w:ilvl="2" w:tplc="040C001B" w:tentative="1">
      <w:start w:val="1"/>
      <w:numFmt w:val="lowerRoman"/>
      <w:lvlText w:val="%3."/>
      <w:lvlJc w:val="right"/>
      <w:pPr>
        <w:tabs>
          <w:tab w:val="num" w:pos="384"/>
        </w:tabs>
        <w:ind w:left="384" w:hanging="180"/>
      </w:pPr>
      <w:rPr>
        <w:rFonts w:cs="Times New Roman"/>
      </w:rPr>
    </w:lvl>
    <w:lvl w:ilvl="3" w:tplc="040C000F" w:tentative="1">
      <w:start w:val="1"/>
      <w:numFmt w:val="decimal"/>
      <w:lvlText w:val="%4."/>
      <w:lvlJc w:val="left"/>
      <w:pPr>
        <w:tabs>
          <w:tab w:val="num" w:pos="1104"/>
        </w:tabs>
        <w:ind w:left="1104" w:hanging="360"/>
      </w:pPr>
      <w:rPr>
        <w:rFonts w:cs="Times New Roman"/>
      </w:rPr>
    </w:lvl>
    <w:lvl w:ilvl="4" w:tplc="040C0019" w:tentative="1">
      <w:start w:val="1"/>
      <w:numFmt w:val="lowerLetter"/>
      <w:lvlText w:val="%5."/>
      <w:lvlJc w:val="left"/>
      <w:pPr>
        <w:tabs>
          <w:tab w:val="num" w:pos="1824"/>
        </w:tabs>
        <w:ind w:left="1824" w:hanging="360"/>
      </w:pPr>
      <w:rPr>
        <w:rFonts w:cs="Times New Roman"/>
      </w:rPr>
    </w:lvl>
    <w:lvl w:ilvl="5" w:tplc="040C001B" w:tentative="1">
      <w:start w:val="1"/>
      <w:numFmt w:val="lowerRoman"/>
      <w:lvlText w:val="%6."/>
      <w:lvlJc w:val="right"/>
      <w:pPr>
        <w:tabs>
          <w:tab w:val="num" w:pos="2544"/>
        </w:tabs>
        <w:ind w:left="2544" w:hanging="180"/>
      </w:pPr>
      <w:rPr>
        <w:rFonts w:cs="Times New Roman"/>
      </w:rPr>
    </w:lvl>
    <w:lvl w:ilvl="6" w:tplc="040C000F" w:tentative="1">
      <w:start w:val="1"/>
      <w:numFmt w:val="decimal"/>
      <w:lvlText w:val="%7."/>
      <w:lvlJc w:val="left"/>
      <w:pPr>
        <w:tabs>
          <w:tab w:val="num" w:pos="3264"/>
        </w:tabs>
        <w:ind w:left="3264" w:hanging="360"/>
      </w:pPr>
      <w:rPr>
        <w:rFonts w:cs="Times New Roman"/>
      </w:rPr>
    </w:lvl>
    <w:lvl w:ilvl="7" w:tplc="040C0019" w:tentative="1">
      <w:start w:val="1"/>
      <w:numFmt w:val="lowerLetter"/>
      <w:lvlText w:val="%8."/>
      <w:lvlJc w:val="left"/>
      <w:pPr>
        <w:tabs>
          <w:tab w:val="num" w:pos="3984"/>
        </w:tabs>
        <w:ind w:left="3984" w:hanging="360"/>
      </w:pPr>
      <w:rPr>
        <w:rFonts w:cs="Times New Roman"/>
      </w:rPr>
    </w:lvl>
    <w:lvl w:ilvl="8" w:tplc="040C001B" w:tentative="1">
      <w:start w:val="1"/>
      <w:numFmt w:val="lowerRoman"/>
      <w:lvlText w:val="%9."/>
      <w:lvlJc w:val="right"/>
      <w:pPr>
        <w:tabs>
          <w:tab w:val="num" w:pos="4704"/>
        </w:tabs>
        <w:ind w:left="4704" w:hanging="180"/>
      </w:pPr>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FC3E64"/>
    <w:rsid w:val="004757A3"/>
    <w:rsid w:val="005F4789"/>
    <w:rsid w:val="00A82943"/>
    <w:rsid w:val="00C92A38"/>
    <w:rsid w:val="00EC007D"/>
    <w:rsid w:val="00FC3E6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07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462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3738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opritescu</cp:lastModifiedBy>
  <cp:revision>3</cp:revision>
  <cp:lastPrinted>2014-01-31T09:11:00Z</cp:lastPrinted>
  <dcterms:created xsi:type="dcterms:W3CDTF">2014-01-23T14:02:00Z</dcterms:created>
  <dcterms:modified xsi:type="dcterms:W3CDTF">2014-01-31T09:11:00Z</dcterms:modified>
</cp:coreProperties>
</file>