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DE" w:rsidRPr="002D5F51" w:rsidRDefault="00D82BDE" w:rsidP="002D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LEXIQUE CHAPITRE 4</w:t>
      </w:r>
    </w:p>
    <w:p w:rsidR="00D82BDE" w:rsidRDefault="00D82BDE"/>
    <w:p w:rsidR="00D82BDE" w:rsidRPr="007C3A34" w:rsidRDefault="00D82BDE" w:rsidP="00F548C6">
      <w:pPr>
        <w:jc w:val="both"/>
        <w:rPr>
          <w:rFonts w:ascii="Times New Roman" w:hAnsi="Times New Roman"/>
          <w:b/>
          <w:i/>
        </w:rPr>
      </w:pPr>
      <w:bookmarkStart w:id="0" w:name="_GoBack"/>
      <w:bookmarkEnd w:id="0"/>
      <w:r w:rsidRPr="007C3A34">
        <w:rPr>
          <w:rFonts w:ascii="Times New Roman" w:hAnsi="Times New Roman"/>
          <w:b/>
          <w:i/>
        </w:rPr>
        <w:t>Banque centrale</w:t>
      </w:r>
    </w:p>
    <w:p w:rsidR="00D82BDE" w:rsidRDefault="00D82BDE" w:rsidP="00F548C6">
      <w:pPr>
        <w:jc w:val="both"/>
        <w:rPr>
          <w:rFonts w:ascii="Times New Roman" w:hAnsi="Times New Roman"/>
        </w:rPr>
      </w:pPr>
      <w:r w:rsidRPr="007C3A34">
        <w:rPr>
          <w:rFonts w:ascii="Times New Roman" w:hAnsi="Times New Roman"/>
        </w:rPr>
        <w:t>Banque des banques chargée d’opérer le refinancement en monnaie banque centrale des banques de second rang</w:t>
      </w:r>
    </w:p>
    <w:p w:rsidR="00D82BDE" w:rsidRDefault="00D82BDE" w:rsidP="00F548C6">
      <w:pPr>
        <w:jc w:val="both"/>
        <w:rPr>
          <w:rFonts w:ascii="Times New Roman" w:hAnsi="Times New Roman"/>
        </w:rPr>
      </w:pPr>
    </w:p>
    <w:p w:rsidR="00D82BDE" w:rsidRDefault="00D82BDE" w:rsidP="00F548C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Chocs symétriques / asymétriques</w:t>
      </w:r>
    </w:p>
    <w:p w:rsidR="00D82BDE" w:rsidRPr="00957115" w:rsidRDefault="00D82BDE" w:rsidP="00F548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choc (d’offre ou de demande) symétrique touche identiquement tous les pays d’une zone ; un choc asymétrique ne touche que quelques pays de cette zone.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</w:p>
    <w:p w:rsidR="00D82BDE" w:rsidRPr="007C3A34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Contrainte budgétaire</w:t>
      </w:r>
    </w:p>
    <w:p w:rsidR="00D82BDE" w:rsidRDefault="00D82BDE" w:rsidP="00F548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Principe de respect des engagements financiers d’un Etat, qui réduisent ses marges de manœuvre en termes de politique économique</w:t>
      </w:r>
    </w:p>
    <w:p w:rsidR="00D82BDE" w:rsidRPr="00F548C6" w:rsidRDefault="00D82BDE" w:rsidP="00F548C6">
      <w:pPr>
        <w:jc w:val="both"/>
        <w:rPr>
          <w:rFonts w:ascii="Times New Roman" w:hAnsi="Times New Roman"/>
        </w:rPr>
      </w:pPr>
    </w:p>
    <w:p w:rsidR="00D82BDE" w:rsidRPr="007C3A34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Contrainte extérieure</w:t>
      </w:r>
    </w:p>
    <w:p w:rsidR="00D82BDE" w:rsidRDefault="00D82BDE" w:rsidP="00F548C6">
      <w:pPr>
        <w:pStyle w:val="Contenudetableau"/>
        <w:jc w:val="both"/>
        <w:rPr>
          <w:szCs w:val="24"/>
        </w:rPr>
      </w:pPr>
      <w:r>
        <w:rPr>
          <w:szCs w:val="24"/>
        </w:rPr>
        <w:t>Réduction des marges de manœuvre des Etats en termes de politiques de relances liée à l’ouverture internationale des pays</w:t>
      </w:r>
    </w:p>
    <w:p w:rsidR="00D82BDE" w:rsidRPr="00F548C6" w:rsidRDefault="00D82BDE" w:rsidP="00F548C6">
      <w:pPr>
        <w:pStyle w:val="Contenudetableau"/>
        <w:jc w:val="both"/>
        <w:rPr>
          <w:szCs w:val="24"/>
        </w:rPr>
      </w:pPr>
    </w:p>
    <w:p w:rsidR="00D82BDE" w:rsidRPr="007C3A34" w:rsidRDefault="00D82BDE" w:rsidP="007C3A34">
      <w:pPr>
        <w:pStyle w:val="Contenudetableau"/>
        <w:rPr>
          <w:b/>
          <w:i/>
          <w:szCs w:val="24"/>
        </w:rPr>
      </w:pPr>
      <w:r w:rsidRPr="007C3A34">
        <w:rPr>
          <w:b/>
          <w:i/>
          <w:szCs w:val="24"/>
        </w:rPr>
        <w:t>Crise des dettes souveraines</w:t>
      </w:r>
    </w:p>
    <w:p w:rsidR="00D82BDE" w:rsidRPr="007C3A34" w:rsidRDefault="00D82BDE" w:rsidP="007C3A34">
      <w:pPr>
        <w:pStyle w:val="Contenudetableau"/>
        <w:rPr>
          <w:b/>
          <w:i/>
          <w:szCs w:val="24"/>
        </w:rPr>
      </w:pPr>
    </w:p>
    <w:p w:rsidR="00D82BDE" w:rsidRPr="007C3A34" w:rsidRDefault="00D82BDE" w:rsidP="007C3A34">
      <w:pPr>
        <w:pStyle w:val="Contenudetableau"/>
        <w:rPr>
          <w:b/>
          <w:i/>
          <w:szCs w:val="24"/>
        </w:rPr>
      </w:pPr>
      <w:r w:rsidRPr="007C3A34">
        <w:rPr>
          <w:b/>
          <w:i/>
          <w:szCs w:val="24"/>
        </w:rPr>
        <w:t>Critères de Maastricht</w:t>
      </w:r>
    </w:p>
    <w:p w:rsidR="00D82BDE" w:rsidRPr="00E14E67" w:rsidRDefault="00D82BDE" w:rsidP="00E14E67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u w:val="single"/>
        </w:rPr>
      </w:pPr>
      <w:r w:rsidRPr="00E14E67">
        <w:rPr>
          <w:rFonts w:ascii="Times New Roman" w:hAnsi="Times New Roman" w:cs="Times New Roman"/>
          <w:u w:val="single"/>
        </w:rPr>
        <w:t xml:space="preserve">Le </w:t>
      </w:r>
      <w:r w:rsidRPr="00E14E67">
        <w:rPr>
          <w:rFonts w:ascii="Times New Roman" w:hAnsi="Times New Roman" w:cs="Times New Roman"/>
          <w:bCs/>
          <w:u w:val="single"/>
        </w:rPr>
        <w:t>déficit public</w:t>
      </w:r>
      <w:r w:rsidRPr="00E14E67">
        <w:rPr>
          <w:rFonts w:ascii="Times New Roman" w:hAnsi="Times New Roman" w:cs="Times New Roman"/>
        </w:rPr>
        <w:t xml:space="preserve"> (déficit des administrations publiques, c’est-à-dire déficit cumulé de l’Etat, des collectivités locales, des organismes de Sécurité Sociale) doit représenter moins de 3 % du PIB du pays. </w:t>
      </w:r>
    </w:p>
    <w:p w:rsidR="00D82BDE" w:rsidRPr="00E14E67" w:rsidRDefault="00D82BDE" w:rsidP="00E14E67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u w:val="single"/>
        </w:rPr>
      </w:pPr>
      <w:r w:rsidRPr="00E14E67">
        <w:rPr>
          <w:rFonts w:ascii="Times New Roman" w:hAnsi="Times New Roman" w:cs="Times New Roman"/>
          <w:u w:val="single"/>
        </w:rPr>
        <w:t xml:space="preserve">La </w:t>
      </w:r>
      <w:r w:rsidRPr="00E14E67">
        <w:rPr>
          <w:rFonts w:ascii="Times New Roman" w:hAnsi="Times New Roman" w:cs="Times New Roman"/>
          <w:bCs/>
          <w:u w:val="single"/>
        </w:rPr>
        <w:t>dette publique</w:t>
      </w:r>
      <w:r w:rsidRPr="00E14E67">
        <w:rPr>
          <w:rFonts w:ascii="Times New Roman" w:hAnsi="Times New Roman" w:cs="Times New Roman"/>
        </w:rPr>
        <w:t xml:space="preserve"> (c’est-à-dire le montant total des emprunts non encore remboursés des Administrations publiques) ne doit pas excéder 60% du PIB du pays (à titre de comparaison, en 1992, ce chiffre dépassait largement 100% en Italie).</w:t>
      </w:r>
    </w:p>
    <w:p w:rsidR="00D82BDE" w:rsidRPr="00E14E67" w:rsidRDefault="00D82BDE" w:rsidP="00E14E67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u w:val="single"/>
        </w:rPr>
      </w:pPr>
      <w:r w:rsidRPr="00E14E67">
        <w:rPr>
          <w:rFonts w:ascii="Times New Roman" w:hAnsi="Times New Roman" w:cs="Times New Roman"/>
          <w:u w:val="single"/>
        </w:rPr>
        <w:t xml:space="preserve">Le </w:t>
      </w:r>
      <w:r w:rsidRPr="00E14E67">
        <w:rPr>
          <w:rFonts w:ascii="Times New Roman" w:hAnsi="Times New Roman" w:cs="Times New Roman"/>
          <w:bCs/>
          <w:u w:val="single"/>
        </w:rPr>
        <w:t>taux d’inflation</w:t>
      </w:r>
      <w:r w:rsidRPr="00E14E67">
        <w:rPr>
          <w:rFonts w:ascii="Times New Roman" w:hAnsi="Times New Roman" w:cs="Times New Roman"/>
        </w:rPr>
        <w:t xml:space="preserve"> ne doit pas dépasser de plus de 1,5 point la moyenne des 3 pays de l’Union monétaire ayant la plus faible inflation.</w:t>
      </w:r>
    </w:p>
    <w:p w:rsidR="00D82BDE" w:rsidRPr="00E6497D" w:rsidRDefault="00D82BDE" w:rsidP="00E14E67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u w:val="single"/>
        </w:rPr>
      </w:pPr>
      <w:r w:rsidRPr="00E14E67">
        <w:rPr>
          <w:rFonts w:ascii="Times New Roman" w:hAnsi="Times New Roman" w:cs="Times New Roman"/>
          <w:u w:val="single"/>
        </w:rPr>
        <w:t xml:space="preserve">Les </w:t>
      </w:r>
      <w:r w:rsidRPr="00E14E67">
        <w:rPr>
          <w:rFonts w:ascii="Times New Roman" w:hAnsi="Times New Roman" w:cs="Times New Roman"/>
          <w:bCs/>
          <w:u w:val="single"/>
        </w:rPr>
        <w:t>taux d’intérêt à long terme</w:t>
      </w:r>
      <w:r w:rsidRPr="00E14E67">
        <w:rPr>
          <w:rFonts w:ascii="Times New Roman" w:hAnsi="Times New Roman" w:cs="Times New Roman"/>
        </w:rPr>
        <w:t xml:space="preserve"> ne doivent pas dépasser de plus de 2 points la moyenne</w:t>
      </w:r>
      <w:r w:rsidRPr="00E6497D">
        <w:rPr>
          <w:rFonts w:ascii="Times New Roman" w:hAnsi="Times New Roman" w:cs="Times New Roman"/>
        </w:rPr>
        <w:t xml:space="preserve"> des taux d’intérêt à long terme dans les trois pays les moins inflationnistes. </w:t>
      </w:r>
    </w:p>
    <w:p w:rsidR="00D82BDE" w:rsidRPr="007C3A34" w:rsidRDefault="00D82BDE" w:rsidP="00F548C6">
      <w:pPr>
        <w:pStyle w:val="Contenudetableau"/>
        <w:jc w:val="both"/>
        <w:rPr>
          <w:szCs w:val="24"/>
        </w:rPr>
      </w:pPr>
    </w:p>
    <w:p w:rsidR="00D82BDE" w:rsidRPr="007C3A34" w:rsidRDefault="00D82BDE" w:rsidP="00F548C6">
      <w:pPr>
        <w:jc w:val="both"/>
        <w:rPr>
          <w:rFonts w:ascii="Times New Roman" w:hAnsi="Times New Roman"/>
          <w:b/>
          <w:i/>
        </w:rPr>
      </w:pPr>
      <w:r w:rsidRPr="007C3A34">
        <w:rPr>
          <w:rFonts w:ascii="Times New Roman" w:hAnsi="Times New Roman"/>
          <w:b/>
          <w:i/>
        </w:rPr>
        <w:t>Euro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  <w:r w:rsidRPr="007C3A34">
        <w:rPr>
          <w:rFonts w:ascii="Times New Roman" w:hAnsi="Times New Roman"/>
        </w:rPr>
        <w:t>Monnaie unique commune à plusieurs pays membres de l’Union européenne mise en place sous forme scripturale en 1999, et sous forme fiduciaire en 2002, année durant laquelle les monnaies nationales ont disparu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</w:p>
    <w:p w:rsidR="00D82BDE" w:rsidRPr="007C3A34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Marché commun</w:t>
      </w:r>
    </w:p>
    <w:p w:rsidR="00D82BDE" w:rsidRDefault="00D82BDE" w:rsidP="00F548C6">
      <w:pPr>
        <w:pStyle w:val="Corpsdetexte21"/>
        <w:tabs>
          <w:tab w:val="num" w:pos="36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 marché commun</w:t>
      </w:r>
      <w:r w:rsidRPr="00E6497D">
        <w:rPr>
          <w:rFonts w:ascii="Times New Roman" w:hAnsi="Times New Roman"/>
          <w:szCs w:val="24"/>
        </w:rPr>
        <w:t xml:space="preserve"> (ou marché unique) </w:t>
      </w:r>
      <w:r>
        <w:rPr>
          <w:rFonts w:ascii="Times New Roman" w:hAnsi="Times New Roman"/>
          <w:szCs w:val="24"/>
        </w:rPr>
        <w:t xml:space="preserve">advient lorsque </w:t>
      </w:r>
      <w:r w:rsidRPr="00E6497D">
        <w:rPr>
          <w:rFonts w:ascii="Times New Roman" w:hAnsi="Times New Roman"/>
          <w:szCs w:val="24"/>
        </w:rPr>
        <w:t xml:space="preserve">la libre circulation </w:t>
      </w:r>
      <w:r>
        <w:rPr>
          <w:rFonts w:ascii="Times New Roman" w:hAnsi="Times New Roman"/>
          <w:szCs w:val="24"/>
        </w:rPr>
        <w:t xml:space="preserve">entre les pays membres </w:t>
      </w:r>
      <w:r w:rsidRPr="00E6497D">
        <w:rPr>
          <w:rFonts w:ascii="Times New Roman" w:hAnsi="Times New Roman"/>
          <w:szCs w:val="24"/>
        </w:rPr>
        <w:t>ne concerne plus seulement les marchandises</w:t>
      </w:r>
      <w:r>
        <w:rPr>
          <w:rFonts w:ascii="Times New Roman" w:hAnsi="Times New Roman"/>
          <w:szCs w:val="24"/>
        </w:rPr>
        <w:t>,</w:t>
      </w:r>
      <w:r w:rsidRPr="00E6497D">
        <w:rPr>
          <w:rFonts w:ascii="Times New Roman" w:hAnsi="Times New Roman"/>
          <w:szCs w:val="24"/>
        </w:rPr>
        <w:t xml:space="preserve"> mais a</w:t>
      </w:r>
      <w:r>
        <w:rPr>
          <w:rFonts w:ascii="Times New Roman" w:hAnsi="Times New Roman"/>
          <w:szCs w:val="24"/>
        </w:rPr>
        <w:t>ussi les capitaux et les hommes</w:t>
      </w:r>
      <w:r w:rsidRPr="00E6497D">
        <w:rPr>
          <w:rFonts w:ascii="Times New Roman" w:hAnsi="Times New Roman"/>
          <w:szCs w:val="24"/>
        </w:rPr>
        <w:t xml:space="preserve"> =&gt; </w:t>
      </w:r>
      <w:r>
        <w:rPr>
          <w:rFonts w:ascii="Times New Roman" w:hAnsi="Times New Roman"/>
          <w:szCs w:val="24"/>
        </w:rPr>
        <w:t xml:space="preserve"> c’est une </w:t>
      </w:r>
      <w:r w:rsidRPr="00E6497D">
        <w:rPr>
          <w:rFonts w:ascii="Times New Roman" w:hAnsi="Times New Roman"/>
          <w:szCs w:val="24"/>
        </w:rPr>
        <w:t xml:space="preserve">union douanière complétée d’une libre circulation des facteurs de production </w:t>
      </w:r>
    </w:p>
    <w:p w:rsidR="00D82BDE" w:rsidRPr="007C3A34" w:rsidRDefault="00D82BDE" w:rsidP="00F548C6">
      <w:pPr>
        <w:jc w:val="both"/>
        <w:rPr>
          <w:rFonts w:ascii="Times New Roman" w:hAnsi="Times New Roman"/>
          <w:b/>
          <w:i/>
        </w:rPr>
      </w:pPr>
    </w:p>
    <w:p w:rsidR="00D82BDE" w:rsidRPr="007C3A34" w:rsidRDefault="00D82BDE" w:rsidP="00F548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C3A34">
        <w:rPr>
          <w:rFonts w:ascii="Times New Roman" w:hAnsi="Times New Roman"/>
          <w:b/>
          <w:bCs/>
          <w:i/>
          <w:iCs/>
          <w:color w:val="000000"/>
        </w:rPr>
        <w:t>Politique budgétaire</w:t>
      </w:r>
    </w:p>
    <w:p w:rsidR="00D82BDE" w:rsidRPr="007C3A34" w:rsidRDefault="00D82BDE" w:rsidP="00F548C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</w:rPr>
      </w:pPr>
      <w:r w:rsidRPr="007C3A34">
        <w:rPr>
          <w:rFonts w:ascii="Times New Roman" w:hAnsi="Times New Roman"/>
          <w:bCs/>
          <w:iCs/>
          <w:color w:val="000000"/>
        </w:rPr>
        <w:t>Mesures visant à faire varier le volume et/ou la structure des dépenses et des recettes publiques afin d’agir sur le niveau de l’activité et de l’emploi</w:t>
      </w:r>
    </w:p>
    <w:p w:rsidR="00D82BDE" w:rsidRPr="007C3A34" w:rsidRDefault="00D82BDE" w:rsidP="00F548C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</w:rPr>
      </w:pPr>
    </w:p>
    <w:p w:rsidR="00D82BDE" w:rsidRPr="007C3A34" w:rsidRDefault="00D82BDE" w:rsidP="00F548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C3A34">
        <w:rPr>
          <w:rFonts w:ascii="Times New Roman" w:hAnsi="Times New Roman"/>
          <w:b/>
          <w:bCs/>
          <w:i/>
          <w:iCs/>
          <w:color w:val="000000"/>
        </w:rPr>
        <w:t>Politique conjoncturelle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  <w:r w:rsidRPr="007C3A34">
        <w:rPr>
          <w:rFonts w:ascii="Times New Roman" w:hAnsi="Times New Roman"/>
        </w:rPr>
        <w:t>Mesures visant, via des politiques budgétaires ou monétaires, à faire varier les taux de croissance de l’activité à court terme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</w:p>
    <w:p w:rsidR="00D82BDE" w:rsidRPr="007C3A34" w:rsidRDefault="00D82BDE" w:rsidP="00F548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C3A34">
        <w:rPr>
          <w:rFonts w:ascii="Times New Roman" w:hAnsi="Times New Roman"/>
          <w:b/>
          <w:bCs/>
          <w:i/>
          <w:iCs/>
          <w:color w:val="000000"/>
        </w:rPr>
        <w:t>Politique monétaire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  <w:r w:rsidRPr="007C3A34">
        <w:rPr>
          <w:rFonts w:ascii="Times New Roman" w:hAnsi="Times New Roman"/>
        </w:rPr>
        <w:t>Mesures prises par les autorités monétaires afin de faire varier la quantité de monnaie en circulation dans l’objectif d’agir sur le niveau de l’activité économique</w:t>
      </w:r>
    </w:p>
    <w:p w:rsidR="00D82BDE" w:rsidRPr="007C3A34" w:rsidRDefault="00D82BDE" w:rsidP="00F548C6">
      <w:pPr>
        <w:jc w:val="both"/>
        <w:rPr>
          <w:rFonts w:ascii="Times New Roman" w:hAnsi="Times New Roman"/>
          <w:b/>
          <w:i/>
        </w:rPr>
      </w:pPr>
    </w:p>
    <w:p w:rsidR="00D82BDE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Stabilisateurs automatiques</w:t>
      </w:r>
    </w:p>
    <w:p w:rsidR="00D82BDE" w:rsidRPr="00F548C6" w:rsidRDefault="00D82BDE" w:rsidP="00F548C6">
      <w:pPr>
        <w:pStyle w:val="Contenudetableau"/>
        <w:jc w:val="both"/>
        <w:rPr>
          <w:szCs w:val="24"/>
        </w:rPr>
      </w:pPr>
      <w:r>
        <w:rPr>
          <w:szCs w:val="24"/>
        </w:rPr>
        <w:t>Evolution automatique des déficits publics consécutive aux fluctuations de l’activité économique</w:t>
      </w:r>
    </w:p>
    <w:p w:rsidR="00D82BDE" w:rsidRPr="007C3A34" w:rsidRDefault="00D82BDE" w:rsidP="00F548C6">
      <w:pPr>
        <w:jc w:val="both"/>
        <w:rPr>
          <w:rFonts w:ascii="Times New Roman" w:hAnsi="Times New Roman"/>
          <w:b/>
          <w:i/>
        </w:rPr>
      </w:pPr>
    </w:p>
    <w:p w:rsidR="00D82BDE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Union douanière</w:t>
      </w:r>
    </w:p>
    <w:p w:rsidR="00D82BDE" w:rsidRDefault="00D82BDE" w:rsidP="00F548C6">
      <w:pPr>
        <w:pStyle w:val="Corpsdetexte21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Transformation d’une</w:t>
      </w:r>
      <w:r w:rsidRPr="00E6497D">
        <w:rPr>
          <w:rFonts w:ascii="Times New Roman" w:hAnsi="Times New Roman"/>
          <w:szCs w:val="24"/>
        </w:rPr>
        <w:t xml:space="preserve"> zone de libre-échange en</w:t>
      </w:r>
      <w:r>
        <w:rPr>
          <w:rFonts w:ascii="Times New Roman" w:hAnsi="Times New Roman"/>
          <w:szCs w:val="24"/>
        </w:rPr>
        <w:t xml:space="preserve"> Union Douanière </w:t>
      </w:r>
      <w:r w:rsidRPr="00E6497D">
        <w:rPr>
          <w:rFonts w:ascii="Times New Roman" w:hAnsi="Times New Roman"/>
          <w:szCs w:val="24"/>
        </w:rPr>
        <w:t>quand les pays adoptent, en plus de la suppression des DD à l’intérieur de la zone, un tarif douanier commu</w:t>
      </w:r>
      <w:r>
        <w:rPr>
          <w:rFonts w:ascii="Times New Roman" w:hAnsi="Times New Roman"/>
          <w:szCs w:val="24"/>
        </w:rPr>
        <w:t>n vis-à-vis des pays extérieurs à l’Union</w:t>
      </w:r>
      <w:r w:rsidRPr="00E6497D">
        <w:rPr>
          <w:rFonts w:ascii="Times New Roman" w:hAnsi="Times New Roman"/>
          <w:szCs w:val="24"/>
        </w:rPr>
        <w:t xml:space="preserve">. </w:t>
      </w:r>
    </w:p>
    <w:p w:rsidR="00D82BDE" w:rsidRPr="007C3A34" w:rsidRDefault="00D82BDE" w:rsidP="00F548C6">
      <w:pPr>
        <w:pStyle w:val="Contenudetableau"/>
        <w:jc w:val="both"/>
        <w:rPr>
          <w:b/>
          <w:i/>
          <w:szCs w:val="24"/>
        </w:rPr>
      </w:pPr>
    </w:p>
    <w:p w:rsidR="00D82BDE" w:rsidRPr="007C3A34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Union politique</w:t>
      </w:r>
    </w:p>
    <w:p w:rsidR="00D82BDE" w:rsidRPr="00E6497D" w:rsidRDefault="00D82BDE" w:rsidP="00F548C6">
      <w:pPr>
        <w:pStyle w:val="Corpsdetexte21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Union économique et monétaire + création d’</w:t>
      </w:r>
      <w:r w:rsidRPr="00E6497D">
        <w:rPr>
          <w:rFonts w:ascii="Times New Roman" w:hAnsi="Times New Roman"/>
          <w:szCs w:val="24"/>
        </w:rPr>
        <w:t xml:space="preserve">institutions politiques </w:t>
      </w:r>
      <w:r>
        <w:rPr>
          <w:rFonts w:ascii="Times New Roman" w:hAnsi="Times New Roman"/>
          <w:szCs w:val="24"/>
        </w:rPr>
        <w:t>qui gèrent les intérêts communs</w:t>
      </w:r>
      <w:r w:rsidRPr="00E6497D">
        <w:rPr>
          <w:rFonts w:ascii="Times New Roman" w:hAnsi="Times New Roman"/>
          <w:szCs w:val="24"/>
        </w:rPr>
        <w:t xml:space="preserve"> =&gt; suppose un approfondissement des formes de coopération au-delà</w:t>
      </w:r>
      <w:r>
        <w:rPr>
          <w:rFonts w:ascii="Times New Roman" w:hAnsi="Times New Roman"/>
          <w:szCs w:val="24"/>
        </w:rPr>
        <w:t xml:space="preserve"> de l’économie et de la monnaie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</w:p>
    <w:p w:rsidR="00D82BDE" w:rsidRDefault="00D82BDE" w:rsidP="00F548C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Union économique</w:t>
      </w:r>
    </w:p>
    <w:p w:rsidR="00D82BDE" w:rsidRDefault="00D82BDE" w:rsidP="00F548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Marché commun + </w:t>
      </w:r>
      <w:r w:rsidRPr="00E6497D">
        <w:rPr>
          <w:rFonts w:ascii="Times New Roman" w:hAnsi="Times New Roman"/>
        </w:rPr>
        <w:t>harmonisation des politiques économiques</w:t>
      </w:r>
    </w:p>
    <w:p w:rsidR="00D82BDE" w:rsidRPr="007C3A34" w:rsidRDefault="00D82BDE" w:rsidP="00F548C6">
      <w:pPr>
        <w:jc w:val="both"/>
        <w:rPr>
          <w:rFonts w:ascii="Times New Roman" w:hAnsi="Times New Roman"/>
          <w:b/>
          <w:i/>
        </w:rPr>
      </w:pPr>
    </w:p>
    <w:p w:rsidR="00D82BDE" w:rsidRDefault="00D82BDE" w:rsidP="00F548C6">
      <w:pPr>
        <w:jc w:val="both"/>
        <w:rPr>
          <w:rFonts w:ascii="Times New Roman" w:hAnsi="Times New Roman"/>
          <w:b/>
          <w:i/>
        </w:rPr>
      </w:pPr>
      <w:r w:rsidRPr="007C3A34">
        <w:rPr>
          <w:rFonts w:ascii="Times New Roman" w:hAnsi="Times New Roman"/>
          <w:b/>
          <w:i/>
        </w:rPr>
        <w:t>Union économique et monétaire</w:t>
      </w:r>
    </w:p>
    <w:p w:rsidR="00D82BDE" w:rsidRDefault="00D82BDE" w:rsidP="00F548C6">
      <w:pPr>
        <w:pStyle w:val="Corpsdetexte21"/>
        <w:ind w:left="0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szCs w:val="24"/>
        </w:rPr>
        <w:t>U</w:t>
      </w:r>
      <w:r w:rsidRPr="00E6497D">
        <w:rPr>
          <w:rFonts w:ascii="Times New Roman" w:hAnsi="Times New Roman"/>
          <w:bCs/>
          <w:szCs w:val="24"/>
        </w:rPr>
        <w:t>nion éco dans laquelle des parité fixes et irrévocables ont été a</w:t>
      </w:r>
      <w:r>
        <w:rPr>
          <w:rFonts w:ascii="Times New Roman" w:hAnsi="Times New Roman"/>
          <w:bCs/>
          <w:szCs w:val="24"/>
        </w:rPr>
        <w:t>rrêtées dans les pays membres ; c’est une union économique + une</w:t>
      </w:r>
      <w:r w:rsidRPr="00E6497D">
        <w:rPr>
          <w:rFonts w:ascii="Times New Roman" w:hAnsi="Times New Roman"/>
          <w:bCs/>
          <w:szCs w:val="24"/>
        </w:rPr>
        <w:t xml:space="preserve"> monnaie unique </w:t>
      </w:r>
      <w:r w:rsidRPr="00E6497D">
        <w:rPr>
          <w:rFonts w:ascii="Times New Roman" w:hAnsi="Times New Roman"/>
          <w:bCs/>
          <w:i/>
          <w:iCs/>
          <w:szCs w:val="24"/>
        </w:rPr>
        <w:t>(cas de la zone euro)</w:t>
      </w:r>
    </w:p>
    <w:p w:rsidR="00D82BDE" w:rsidRPr="007C3A34" w:rsidRDefault="00D82BDE" w:rsidP="00F548C6">
      <w:pPr>
        <w:jc w:val="both"/>
        <w:rPr>
          <w:rFonts w:ascii="Times New Roman" w:hAnsi="Times New Roman"/>
        </w:rPr>
      </w:pPr>
    </w:p>
    <w:p w:rsidR="00D82BDE" w:rsidRDefault="00D82BDE" w:rsidP="00F548C6">
      <w:pPr>
        <w:pStyle w:val="Contenudetableau"/>
        <w:jc w:val="both"/>
        <w:rPr>
          <w:b/>
          <w:i/>
          <w:szCs w:val="24"/>
        </w:rPr>
      </w:pPr>
      <w:r w:rsidRPr="007C3A34">
        <w:rPr>
          <w:b/>
          <w:i/>
          <w:szCs w:val="24"/>
        </w:rPr>
        <w:t>Zone de libre-échange</w:t>
      </w:r>
    </w:p>
    <w:p w:rsidR="00D82BDE" w:rsidRDefault="00D82BDE" w:rsidP="00F548C6">
      <w:pPr>
        <w:pStyle w:val="Corpsdetexte21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E6497D">
        <w:rPr>
          <w:rFonts w:ascii="Times New Roman" w:hAnsi="Times New Roman"/>
          <w:szCs w:val="24"/>
        </w:rPr>
        <w:t>uppression des barrières do</w:t>
      </w:r>
      <w:r>
        <w:rPr>
          <w:rFonts w:ascii="Times New Roman" w:hAnsi="Times New Roman"/>
          <w:szCs w:val="24"/>
        </w:rPr>
        <w:t>uanières entre les pays membres de la zone de libre-échange, m</w:t>
      </w:r>
      <w:r w:rsidRPr="00E6497D">
        <w:rPr>
          <w:rFonts w:ascii="Times New Roman" w:hAnsi="Times New Roman"/>
          <w:szCs w:val="24"/>
        </w:rPr>
        <w:t>ais chaque pays conserve la maîtrise de sa politique com</w:t>
      </w:r>
      <w:r>
        <w:rPr>
          <w:rFonts w:ascii="Times New Roman" w:hAnsi="Times New Roman"/>
          <w:szCs w:val="24"/>
        </w:rPr>
        <w:t>merciale vis-à-vis des pays extérieurs à la zone</w:t>
      </w:r>
      <w:r w:rsidRPr="00E6497D">
        <w:rPr>
          <w:rFonts w:ascii="Times New Roman" w:hAnsi="Times New Roman"/>
          <w:szCs w:val="24"/>
        </w:rPr>
        <w:t xml:space="preserve">. </w:t>
      </w:r>
    </w:p>
    <w:p w:rsidR="00D82BDE" w:rsidRPr="007C3A34" w:rsidRDefault="00D82BDE" w:rsidP="00F548C6">
      <w:pPr>
        <w:pStyle w:val="Contenudetableau"/>
        <w:jc w:val="both"/>
        <w:rPr>
          <w:b/>
          <w:i/>
          <w:szCs w:val="24"/>
        </w:rPr>
      </w:pPr>
    </w:p>
    <w:p w:rsidR="00D82BDE" w:rsidRPr="007C3A34" w:rsidRDefault="00D82BDE" w:rsidP="00F548C6">
      <w:pPr>
        <w:pStyle w:val="Contenudetableau"/>
        <w:jc w:val="both"/>
        <w:rPr>
          <w:szCs w:val="24"/>
        </w:rPr>
      </w:pPr>
    </w:p>
    <w:sectPr w:rsidR="00D82BDE" w:rsidRPr="007C3A34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3BDE"/>
    <w:multiLevelType w:val="hybridMultilevel"/>
    <w:tmpl w:val="1C1A933E"/>
    <w:lvl w:ilvl="0" w:tplc="56964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5D12FCFE">
      <w:start w:val="1"/>
      <w:numFmt w:val="bullet"/>
      <w:lvlText w:val="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b/>
        <w:i w:val="0"/>
      </w:rPr>
    </w:lvl>
    <w:lvl w:ilvl="2" w:tplc="31EECC10">
      <w:numFmt w:val="bullet"/>
      <w:lvlText w:val="–"/>
      <w:lvlJc w:val="left"/>
      <w:pPr>
        <w:ind w:left="252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794196"/>
    <w:multiLevelType w:val="hybridMultilevel"/>
    <w:tmpl w:val="BC2EA8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2D79C2"/>
    <w:multiLevelType w:val="hybridMultilevel"/>
    <w:tmpl w:val="B2D89EF8"/>
    <w:lvl w:ilvl="0" w:tplc="F12E05C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F51"/>
    <w:rsid w:val="000B291E"/>
    <w:rsid w:val="000B2C09"/>
    <w:rsid w:val="00175AEF"/>
    <w:rsid w:val="002D5F51"/>
    <w:rsid w:val="003E0219"/>
    <w:rsid w:val="00591F49"/>
    <w:rsid w:val="007339D8"/>
    <w:rsid w:val="007C3A34"/>
    <w:rsid w:val="00957115"/>
    <w:rsid w:val="00A82943"/>
    <w:rsid w:val="00C92A38"/>
    <w:rsid w:val="00D82BDE"/>
    <w:rsid w:val="00E14E67"/>
    <w:rsid w:val="00E6497D"/>
    <w:rsid w:val="00F16BC3"/>
    <w:rsid w:val="00F5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uiPriority w:val="99"/>
    <w:rsid w:val="007C3A34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1"/>
      <w:szCs w:val="20"/>
    </w:rPr>
  </w:style>
  <w:style w:type="paragraph" w:customStyle="1" w:styleId="Corpsdetexte21">
    <w:name w:val="Corps de texte 21"/>
    <w:basedOn w:val="Normal"/>
    <w:uiPriority w:val="99"/>
    <w:rsid w:val="007C3A34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rsid w:val="00E14E67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4E67"/>
    <w:rPr>
      <w:rFonts w:ascii="Times" w:hAnsi="Times" w:cs="Times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539</Words>
  <Characters>2970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3</cp:revision>
  <dcterms:created xsi:type="dcterms:W3CDTF">2014-06-15T09:03:00Z</dcterms:created>
  <dcterms:modified xsi:type="dcterms:W3CDTF">2014-09-26T08:09:00Z</dcterms:modified>
</cp:coreProperties>
</file>