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B7" w:rsidRPr="00A02223" w:rsidRDefault="00ED0EB7" w:rsidP="00A02223">
      <w:pPr>
        <w:pBdr>
          <w:top w:val="single" w:sz="4" w:space="1" w:color="auto"/>
          <w:left w:val="single" w:sz="4" w:space="4" w:color="auto"/>
          <w:bottom w:val="single" w:sz="4" w:space="1" w:color="auto"/>
          <w:right w:val="single" w:sz="4" w:space="4" w:color="auto"/>
        </w:pBdr>
        <w:jc w:val="center"/>
        <w:rPr>
          <w:b/>
        </w:rPr>
      </w:pPr>
      <w:r>
        <w:rPr>
          <w:b/>
        </w:rPr>
        <w:t>LEXIQUE CHAPITRE 2</w:t>
      </w:r>
    </w:p>
    <w:p w:rsidR="00ED0EB7" w:rsidRDefault="00ED0EB7"/>
    <w:p w:rsidR="00ED0EB7" w:rsidRPr="00C873BD" w:rsidRDefault="00ED0EB7">
      <w:pPr>
        <w:rPr>
          <w:sz w:val="21"/>
          <w:szCs w:val="21"/>
        </w:rPr>
      </w:pPr>
    </w:p>
    <w:p w:rsidR="00ED0EB7" w:rsidRPr="00C873BD" w:rsidRDefault="00ED0EB7" w:rsidP="00A02223">
      <w:pPr>
        <w:rPr>
          <w:rFonts w:ascii="Times New Roman" w:hAnsi="Times New Roman"/>
          <w:b/>
          <w:i/>
          <w:sz w:val="21"/>
          <w:szCs w:val="21"/>
        </w:rPr>
      </w:pPr>
      <w:bookmarkStart w:id="0" w:name="_GoBack"/>
      <w:r w:rsidRPr="00C873BD">
        <w:rPr>
          <w:rFonts w:ascii="Times New Roman" w:hAnsi="Times New Roman"/>
          <w:b/>
          <w:i/>
          <w:sz w:val="21"/>
          <w:szCs w:val="21"/>
        </w:rPr>
        <w:t>Chocs d’offre et de demande</w:t>
      </w:r>
    </w:p>
    <w:p w:rsidR="00ED0EB7" w:rsidRPr="00C873BD" w:rsidRDefault="00ED0EB7" w:rsidP="0052582E">
      <w:pPr>
        <w:jc w:val="both"/>
        <w:rPr>
          <w:rFonts w:ascii="Times New Roman" w:hAnsi="Times New Roman"/>
          <w:sz w:val="21"/>
          <w:szCs w:val="21"/>
        </w:rPr>
      </w:pPr>
      <w:r w:rsidRPr="00C873BD">
        <w:rPr>
          <w:rFonts w:ascii="Times New Roman" w:hAnsi="Times New Roman"/>
          <w:sz w:val="21"/>
          <w:szCs w:val="21"/>
        </w:rPr>
        <w:t>Impulsions exogènes ayant un impact sur le niveau de la demande ou de l’offre pour un prix donné, qui conduisent à une variation de l’activité économique soit à la hausse (quand les chocs sont positifs), soit à la baisse (quand les chocs sont négatifs)</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Chômage</w:t>
      </w:r>
    </w:p>
    <w:p w:rsidR="00ED0EB7" w:rsidRPr="00C873BD" w:rsidRDefault="00ED0EB7" w:rsidP="00A02223">
      <w:pPr>
        <w:rPr>
          <w:rFonts w:ascii="Times New Roman" w:hAnsi="Times New Roman"/>
          <w:sz w:val="21"/>
          <w:szCs w:val="21"/>
        </w:rPr>
      </w:pPr>
      <w:r w:rsidRPr="00C873BD">
        <w:rPr>
          <w:rFonts w:ascii="Times New Roman" w:hAnsi="Times New Roman"/>
          <w:sz w:val="21"/>
          <w:szCs w:val="21"/>
        </w:rPr>
        <w:t>Population active inoccupée à la recherche d’un emploi. On parle de chômage de masse lorsque le chômage reste durablement à un niveau élevé</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Crise économique</w:t>
      </w:r>
    </w:p>
    <w:p w:rsidR="00ED0EB7" w:rsidRPr="00C873BD" w:rsidRDefault="00ED0EB7" w:rsidP="00A02223">
      <w:pPr>
        <w:rPr>
          <w:rFonts w:ascii="Times New Roman" w:hAnsi="Times New Roman"/>
          <w:sz w:val="21"/>
          <w:szCs w:val="21"/>
        </w:rPr>
      </w:pPr>
      <w:r w:rsidRPr="00C873BD">
        <w:rPr>
          <w:rFonts w:ascii="Times New Roman" w:hAnsi="Times New Roman"/>
          <w:sz w:val="21"/>
          <w:szCs w:val="21"/>
        </w:rPr>
        <w:t>Période de stagnation durable ou de dépression de l’activité économique, se traduisant par une hausse du chômage</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Cycle du crédit</w:t>
      </w:r>
    </w:p>
    <w:p w:rsidR="00ED0EB7" w:rsidRPr="00C873BD" w:rsidRDefault="00ED0EB7" w:rsidP="00C873BD">
      <w:pPr>
        <w:jc w:val="both"/>
        <w:rPr>
          <w:rFonts w:ascii="Times New Roman" w:hAnsi="Times New Roman"/>
          <w:sz w:val="21"/>
          <w:szCs w:val="21"/>
        </w:rPr>
      </w:pPr>
      <w:r w:rsidRPr="00C873BD">
        <w:rPr>
          <w:rFonts w:ascii="Times New Roman" w:hAnsi="Times New Roman"/>
          <w:sz w:val="21"/>
          <w:szCs w:val="21"/>
        </w:rPr>
        <w:t>Phénomène montrant que les crédits tendent à accentuer les fluctuations économiques, puisqu’en période de croissance, les agents économiques sont confiants et n’hésitent pas à emprunter, ce qui accroît la demande et donc génère une croissance encore plus forte, alors qu’en période de récession, les agents économiques empruntent moins ce qui réduit la demande, et accroît donc la dépression</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Déflation</w:t>
      </w:r>
    </w:p>
    <w:p w:rsidR="00ED0EB7" w:rsidRPr="00C873BD" w:rsidRDefault="00ED0EB7" w:rsidP="00A02223">
      <w:pPr>
        <w:rPr>
          <w:rFonts w:ascii="Times New Roman" w:hAnsi="Times New Roman"/>
          <w:sz w:val="21"/>
          <w:szCs w:val="21"/>
        </w:rPr>
      </w:pPr>
      <w:r w:rsidRPr="00C873BD">
        <w:rPr>
          <w:rFonts w:ascii="Times New Roman" w:hAnsi="Times New Roman"/>
          <w:sz w:val="21"/>
          <w:szCs w:val="21"/>
        </w:rPr>
        <w:t>Période durant laquelle le niveau général des prix diminue</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Demande globale</w:t>
      </w:r>
    </w:p>
    <w:p w:rsidR="00ED0EB7" w:rsidRPr="00C873BD" w:rsidRDefault="00ED0EB7" w:rsidP="0052582E">
      <w:pPr>
        <w:jc w:val="both"/>
        <w:rPr>
          <w:rFonts w:ascii="Times New Roman" w:hAnsi="Times New Roman"/>
          <w:sz w:val="21"/>
          <w:szCs w:val="21"/>
        </w:rPr>
      </w:pPr>
      <w:r w:rsidRPr="00C873BD">
        <w:rPr>
          <w:rFonts w:ascii="Times New Roman" w:hAnsi="Times New Roman"/>
          <w:sz w:val="21"/>
          <w:szCs w:val="21"/>
        </w:rPr>
        <w:t>Somme de la consommation et de l’investissement à l’échelle de la Nation. Correspond à la quantité de biens et de services demandés par les agents économiques au niveau global, qu’ils soient résidents ou non résidents.</w:t>
      </w:r>
    </w:p>
    <w:p w:rsidR="00ED0EB7" w:rsidRPr="00C873BD" w:rsidRDefault="00ED0EB7" w:rsidP="0052582E">
      <w:pPr>
        <w:jc w:val="both"/>
        <w:rPr>
          <w:rFonts w:ascii="Times New Roman" w:hAnsi="Times New Roman"/>
          <w:sz w:val="21"/>
          <w:szCs w:val="21"/>
        </w:rPr>
      </w:pPr>
      <w:r w:rsidRPr="00C873BD">
        <w:rPr>
          <w:rFonts w:ascii="Times New Roman" w:hAnsi="Times New Roman"/>
          <w:sz w:val="21"/>
          <w:szCs w:val="21"/>
        </w:rPr>
        <w:t>D = C + I</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Dépression</w:t>
      </w:r>
    </w:p>
    <w:p w:rsidR="00ED0EB7" w:rsidRPr="00C873BD" w:rsidRDefault="00ED0EB7" w:rsidP="00A02223">
      <w:pPr>
        <w:rPr>
          <w:rFonts w:ascii="Times New Roman" w:hAnsi="Times New Roman"/>
          <w:sz w:val="21"/>
          <w:szCs w:val="21"/>
        </w:rPr>
      </w:pPr>
      <w:r w:rsidRPr="00C873BD">
        <w:rPr>
          <w:rFonts w:ascii="Times New Roman" w:hAnsi="Times New Roman"/>
          <w:sz w:val="21"/>
          <w:szCs w:val="21"/>
        </w:rPr>
        <w:t>Période de diminution de la production et de la demande</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Désinflation</w:t>
      </w:r>
    </w:p>
    <w:p w:rsidR="00ED0EB7" w:rsidRPr="00C873BD" w:rsidRDefault="00ED0EB7" w:rsidP="00A02223">
      <w:pPr>
        <w:rPr>
          <w:rFonts w:ascii="Times New Roman" w:hAnsi="Times New Roman"/>
          <w:sz w:val="21"/>
          <w:szCs w:val="21"/>
        </w:rPr>
      </w:pPr>
      <w:r w:rsidRPr="00C873BD">
        <w:rPr>
          <w:rFonts w:ascii="Times New Roman" w:hAnsi="Times New Roman"/>
          <w:sz w:val="21"/>
          <w:szCs w:val="21"/>
        </w:rPr>
        <w:t>Période durant laquelle l’augmentation des prix se ralentit ; on a lors une diminution du taux d’inflation</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Fluctuations économiques</w:t>
      </w:r>
    </w:p>
    <w:p w:rsidR="00ED0EB7" w:rsidRPr="00C873BD" w:rsidRDefault="00ED0EB7" w:rsidP="00A02223">
      <w:pPr>
        <w:rPr>
          <w:rFonts w:ascii="Times New Roman" w:hAnsi="Times New Roman"/>
          <w:sz w:val="21"/>
          <w:szCs w:val="21"/>
        </w:rPr>
      </w:pPr>
      <w:r w:rsidRPr="00C873BD">
        <w:rPr>
          <w:rFonts w:ascii="Times New Roman" w:hAnsi="Times New Roman"/>
          <w:sz w:val="21"/>
          <w:szCs w:val="21"/>
        </w:rPr>
        <w:t>Irrégularité de l’évolution des grandeurs économiques (production, prix, emploi, revenus, investissement…) au cours du temps</w:t>
      </w:r>
    </w:p>
    <w:p w:rsidR="00ED0EB7" w:rsidRPr="00C873BD" w:rsidRDefault="00ED0EB7" w:rsidP="00A02223">
      <w:pPr>
        <w:rPr>
          <w:rFonts w:ascii="Times New Roman" w:hAnsi="Times New Roman"/>
          <w:b/>
          <w:i/>
          <w:sz w:val="21"/>
          <w:szCs w:val="21"/>
        </w:rPr>
      </w:pPr>
    </w:p>
    <w:p w:rsidR="00ED0EB7" w:rsidRPr="00C873BD" w:rsidRDefault="00ED0EB7" w:rsidP="00A02223">
      <w:pPr>
        <w:rPr>
          <w:rFonts w:ascii="Times New Roman" w:hAnsi="Times New Roman"/>
          <w:b/>
          <w:i/>
          <w:sz w:val="21"/>
          <w:szCs w:val="21"/>
        </w:rPr>
      </w:pPr>
      <w:r w:rsidRPr="00C873BD">
        <w:rPr>
          <w:rFonts w:ascii="Times New Roman" w:hAnsi="Times New Roman"/>
          <w:b/>
          <w:i/>
          <w:sz w:val="21"/>
          <w:szCs w:val="21"/>
        </w:rPr>
        <w:t>Inflation</w:t>
      </w:r>
    </w:p>
    <w:p w:rsidR="00ED0EB7" w:rsidRPr="00C873BD" w:rsidRDefault="00ED0EB7" w:rsidP="009F3F74">
      <w:pPr>
        <w:jc w:val="both"/>
        <w:rPr>
          <w:rFonts w:ascii="Times New Roman" w:hAnsi="Times New Roman"/>
          <w:sz w:val="21"/>
          <w:szCs w:val="21"/>
        </w:rPr>
      </w:pPr>
      <w:r w:rsidRPr="00C873BD">
        <w:rPr>
          <w:rFonts w:ascii="Times New Roman" w:hAnsi="Times New Roman"/>
          <w:sz w:val="21"/>
          <w:szCs w:val="21"/>
        </w:rPr>
        <w:t xml:space="preserve">Période d’augmentation du niveau général des prix. L’inflation est mesurée par l’accroissement de l’indice des prix. </w:t>
      </w:r>
    </w:p>
    <w:bookmarkEnd w:id="0"/>
    <w:p w:rsidR="00ED0EB7" w:rsidRPr="00C873BD" w:rsidRDefault="00ED0EB7" w:rsidP="003E0219">
      <w:pPr>
        <w:autoSpaceDE w:val="0"/>
        <w:autoSpaceDN w:val="0"/>
        <w:adjustRightInd w:val="0"/>
        <w:jc w:val="both"/>
        <w:rPr>
          <w:rFonts w:ascii="Times New Roman" w:hAnsi="Times New Roman"/>
          <w:b/>
          <w:bCs/>
          <w:i/>
          <w:iCs/>
          <w:color w:val="000000"/>
          <w:sz w:val="21"/>
          <w:szCs w:val="21"/>
        </w:rPr>
      </w:pPr>
    </w:p>
    <w:p w:rsidR="00ED0EB7" w:rsidRPr="00C873BD" w:rsidRDefault="00ED0EB7" w:rsidP="003E0219">
      <w:pPr>
        <w:autoSpaceDE w:val="0"/>
        <w:autoSpaceDN w:val="0"/>
        <w:adjustRightInd w:val="0"/>
        <w:jc w:val="both"/>
        <w:rPr>
          <w:rFonts w:ascii="Times New Roman" w:hAnsi="Times New Roman"/>
          <w:b/>
          <w:bCs/>
          <w:i/>
          <w:iCs/>
          <w:color w:val="000000"/>
          <w:sz w:val="21"/>
          <w:szCs w:val="21"/>
        </w:rPr>
      </w:pPr>
      <w:r w:rsidRPr="00C873BD">
        <w:rPr>
          <w:rFonts w:ascii="Times New Roman" w:hAnsi="Times New Roman"/>
          <w:b/>
          <w:bCs/>
          <w:i/>
          <w:iCs/>
          <w:color w:val="000000"/>
          <w:sz w:val="21"/>
          <w:szCs w:val="21"/>
        </w:rPr>
        <w:t>Politique budgétaire</w:t>
      </w:r>
    </w:p>
    <w:p w:rsidR="00ED0EB7" w:rsidRPr="00C873BD" w:rsidRDefault="00ED0EB7" w:rsidP="003E0219">
      <w:pPr>
        <w:autoSpaceDE w:val="0"/>
        <w:autoSpaceDN w:val="0"/>
        <w:adjustRightInd w:val="0"/>
        <w:jc w:val="both"/>
        <w:rPr>
          <w:rFonts w:ascii="Times New Roman" w:hAnsi="Times New Roman"/>
          <w:bCs/>
          <w:iCs/>
          <w:color w:val="000000"/>
          <w:sz w:val="21"/>
          <w:szCs w:val="21"/>
        </w:rPr>
      </w:pPr>
      <w:r w:rsidRPr="00C873BD">
        <w:rPr>
          <w:rFonts w:ascii="Times New Roman" w:hAnsi="Times New Roman"/>
          <w:bCs/>
          <w:iCs/>
          <w:color w:val="000000"/>
          <w:sz w:val="21"/>
          <w:szCs w:val="21"/>
        </w:rPr>
        <w:t>Mesures visant à faire varier le volume et/ou la structure des dépenses et des recettes publiques afin d’agir sur le niveau de l’activité et de l’emploi</w:t>
      </w:r>
    </w:p>
    <w:p w:rsidR="00ED0EB7" w:rsidRPr="00C873BD" w:rsidRDefault="00ED0EB7" w:rsidP="003E0219">
      <w:pPr>
        <w:autoSpaceDE w:val="0"/>
        <w:autoSpaceDN w:val="0"/>
        <w:adjustRightInd w:val="0"/>
        <w:jc w:val="both"/>
        <w:rPr>
          <w:rFonts w:ascii="Times New Roman" w:hAnsi="Times New Roman"/>
          <w:bCs/>
          <w:iCs/>
          <w:color w:val="000000"/>
          <w:sz w:val="21"/>
          <w:szCs w:val="21"/>
        </w:rPr>
      </w:pPr>
    </w:p>
    <w:p w:rsidR="00ED0EB7" w:rsidRPr="00C873BD" w:rsidRDefault="00ED0EB7" w:rsidP="003E0219">
      <w:pPr>
        <w:autoSpaceDE w:val="0"/>
        <w:autoSpaceDN w:val="0"/>
        <w:adjustRightInd w:val="0"/>
        <w:jc w:val="both"/>
        <w:rPr>
          <w:rFonts w:ascii="Times New Roman" w:hAnsi="Times New Roman"/>
          <w:b/>
          <w:bCs/>
          <w:i/>
          <w:iCs/>
          <w:color w:val="000000"/>
          <w:sz w:val="21"/>
          <w:szCs w:val="21"/>
        </w:rPr>
      </w:pPr>
      <w:r w:rsidRPr="00C873BD">
        <w:rPr>
          <w:rFonts w:ascii="Times New Roman" w:hAnsi="Times New Roman"/>
          <w:b/>
          <w:bCs/>
          <w:i/>
          <w:iCs/>
          <w:color w:val="000000"/>
          <w:sz w:val="21"/>
          <w:szCs w:val="21"/>
        </w:rPr>
        <w:t>Politique conjoncturelle</w:t>
      </w:r>
    </w:p>
    <w:p w:rsidR="00ED0EB7" w:rsidRPr="00C873BD" w:rsidRDefault="00ED0EB7" w:rsidP="003E0219">
      <w:pPr>
        <w:jc w:val="both"/>
        <w:rPr>
          <w:rFonts w:ascii="Times New Roman" w:hAnsi="Times New Roman"/>
          <w:sz w:val="21"/>
          <w:szCs w:val="21"/>
        </w:rPr>
      </w:pPr>
      <w:r w:rsidRPr="00C873BD">
        <w:rPr>
          <w:rFonts w:ascii="Times New Roman" w:hAnsi="Times New Roman"/>
          <w:sz w:val="21"/>
          <w:szCs w:val="21"/>
        </w:rPr>
        <w:t>Mesures visant, via des politiques budgétaires ou monétaires, à faire varier les taux de croissance de l’activité à court terme</w:t>
      </w:r>
    </w:p>
    <w:p w:rsidR="00ED0EB7" w:rsidRPr="00C873BD" w:rsidRDefault="00ED0EB7">
      <w:pPr>
        <w:rPr>
          <w:sz w:val="21"/>
          <w:szCs w:val="21"/>
        </w:rPr>
      </w:pPr>
    </w:p>
    <w:p w:rsidR="00ED0EB7" w:rsidRPr="00C873BD" w:rsidRDefault="00ED0EB7" w:rsidP="003E0219">
      <w:pPr>
        <w:autoSpaceDE w:val="0"/>
        <w:autoSpaceDN w:val="0"/>
        <w:adjustRightInd w:val="0"/>
        <w:jc w:val="both"/>
        <w:rPr>
          <w:rFonts w:ascii="Times New Roman" w:hAnsi="Times New Roman"/>
          <w:b/>
          <w:bCs/>
          <w:i/>
          <w:iCs/>
          <w:color w:val="000000"/>
          <w:sz w:val="21"/>
          <w:szCs w:val="21"/>
        </w:rPr>
      </w:pPr>
      <w:r w:rsidRPr="00C873BD">
        <w:rPr>
          <w:rFonts w:ascii="Times New Roman" w:hAnsi="Times New Roman"/>
          <w:b/>
          <w:bCs/>
          <w:i/>
          <w:iCs/>
          <w:color w:val="000000"/>
          <w:sz w:val="21"/>
          <w:szCs w:val="21"/>
        </w:rPr>
        <w:t>Politique monétaire</w:t>
      </w:r>
    </w:p>
    <w:p w:rsidR="00ED0EB7" w:rsidRPr="00C873BD" w:rsidRDefault="00ED0EB7" w:rsidP="003E0219">
      <w:pPr>
        <w:jc w:val="both"/>
        <w:rPr>
          <w:rFonts w:ascii="Times New Roman" w:hAnsi="Times New Roman"/>
          <w:sz w:val="21"/>
          <w:szCs w:val="21"/>
        </w:rPr>
      </w:pPr>
      <w:r w:rsidRPr="00C873BD">
        <w:rPr>
          <w:rFonts w:ascii="Times New Roman" w:hAnsi="Times New Roman"/>
          <w:sz w:val="21"/>
          <w:szCs w:val="21"/>
        </w:rPr>
        <w:t>Mesures prises par les autorités monétaires afin de faire varier la quantité de monnaie en circulation dans l’objectif d’agir sur le niveau de l’activité économique</w:t>
      </w:r>
    </w:p>
    <w:sectPr w:rsidR="00ED0EB7" w:rsidRPr="00C873BD" w:rsidSect="00C92A38">
      <w:pgSz w:w="11900" w:h="16840"/>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223"/>
    <w:rsid w:val="003E0219"/>
    <w:rsid w:val="0052582E"/>
    <w:rsid w:val="00872207"/>
    <w:rsid w:val="009F3F74"/>
    <w:rsid w:val="00A02223"/>
    <w:rsid w:val="00A82943"/>
    <w:rsid w:val="00AE6A71"/>
    <w:rsid w:val="00C873BD"/>
    <w:rsid w:val="00C92A38"/>
    <w:rsid w:val="00ED0EB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2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Pages>
  <Words>352</Words>
  <Characters>1939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RenaudSophie</cp:lastModifiedBy>
  <cp:revision>4</cp:revision>
  <dcterms:created xsi:type="dcterms:W3CDTF">2014-06-14T15:33:00Z</dcterms:created>
  <dcterms:modified xsi:type="dcterms:W3CDTF">2014-08-27T08:22:00Z</dcterms:modified>
</cp:coreProperties>
</file>