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8D" w:rsidRDefault="00DC578D" w:rsidP="00C547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LE FONCTIONNEMENT DU MARCHE DES ACTIONS</w:t>
      </w:r>
    </w:p>
    <w:p w:rsidR="00DC578D" w:rsidRDefault="00DC578D" w:rsidP="00C5472E"/>
    <w:p w:rsidR="00DC578D" w:rsidRDefault="00DC578D" w:rsidP="00C5472E"/>
    <w:p w:rsidR="00DC578D" w:rsidRDefault="00DC578D" w:rsidP="00C5472E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LA COTATION D’UNE ACTION EN BOURSE</w:t>
      </w:r>
    </w:p>
    <w:p w:rsidR="00DC578D" w:rsidRDefault="00DC578D" w:rsidP="00C5472E">
      <w:pPr>
        <w:jc w:val="both"/>
        <w:rPr>
          <w:b/>
          <w:u w:val="single"/>
        </w:rPr>
      </w:pPr>
    </w:p>
    <w:p w:rsidR="00DC578D" w:rsidRDefault="00DC578D" w:rsidP="00C5472E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Qu’est-ce qu’une action ?</w:t>
      </w:r>
    </w:p>
    <w:p w:rsidR="00DC578D" w:rsidRPr="003252F1" w:rsidRDefault="00DC578D" w:rsidP="00CF4FC7">
      <w:pPr>
        <w:numPr>
          <w:ilvl w:val="0"/>
          <w:numId w:val="12"/>
        </w:numPr>
        <w:jc w:val="both"/>
        <w:rPr>
          <w:i/>
          <w:u w:val="single"/>
        </w:rPr>
      </w:pPr>
      <w:r w:rsidRPr="00CF4FC7">
        <w:rPr>
          <w:i/>
          <w:iCs/>
          <w:u w:val="single"/>
        </w:rPr>
        <w:t>Au préalable: la distinction entre entreprise individuelle et société</w:t>
      </w:r>
    </w:p>
    <w:p w:rsidR="00DC578D" w:rsidRPr="00CF4FC7" w:rsidRDefault="00DC578D" w:rsidP="00CF4FC7">
      <w:pPr>
        <w:numPr>
          <w:ilvl w:val="0"/>
          <w:numId w:val="12"/>
        </w:numPr>
        <w:jc w:val="both"/>
        <w:rPr>
          <w:i/>
          <w:u w:val="single"/>
          <w:lang w:val="en-GB"/>
        </w:rPr>
      </w:pPr>
      <w:r w:rsidRPr="00CF4FC7">
        <w:rPr>
          <w:i/>
          <w:iCs/>
          <w:u w:val="single"/>
        </w:rPr>
        <w:t>Définition</w:t>
      </w:r>
    </w:p>
    <w:p w:rsidR="00DC578D" w:rsidRDefault="00DC578D" w:rsidP="00CF4FC7">
      <w:pPr>
        <w:ind w:left="720"/>
        <w:jc w:val="both"/>
        <w:rPr>
          <w:b/>
          <w:u w:val="single"/>
        </w:rPr>
      </w:pPr>
    </w:p>
    <w:p w:rsidR="00DC578D" w:rsidRDefault="00DC578D" w:rsidP="00CF4FC7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Comment acheter une action ?</w:t>
      </w:r>
    </w:p>
    <w:p w:rsidR="00DC578D" w:rsidRDefault="00DC578D" w:rsidP="00C5472E">
      <w:pPr>
        <w:jc w:val="both"/>
        <w:rPr>
          <w:b/>
          <w:u w:val="single"/>
        </w:rPr>
      </w:pPr>
    </w:p>
    <w:p w:rsidR="00DC578D" w:rsidRDefault="00DC578D" w:rsidP="00C5472E">
      <w:pPr>
        <w:jc w:val="both"/>
        <w:rPr>
          <w:b/>
          <w:u w:val="single"/>
        </w:rPr>
      </w:pPr>
    </w:p>
    <w:p w:rsidR="00DC578D" w:rsidRDefault="00DC578D" w:rsidP="00C5472E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COMMENT SE DETERMINE LE COURS D’UNE ACTION ?</w:t>
      </w:r>
    </w:p>
    <w:p w:rsidR="00DC578D" w:rsidRDefault="00DC578D" w:rsidP="00C5472E">
      <w:pPr>
        <w:jc w:val="both"/>
        <w:rPr>
          <w:b/>
          <w:u w:val="single"/>
        </w:rPr>
      </w:pPr>
    </w:p>
    <w:p w:rsidR="00DC578D" w:rsidRDefault="00DC578D" w:rsidP="00C5472E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Marché primaire et marché secondaire</w:t>
      </w:r>
    </w:p>
    <w:p w:rsidR="00DC578D" w:rsidRDefault="00DC578D" w:rsidP="00C5472E">
      <w:pPr>
        <w:numPr>
          <w:ilvl w:val="0"/>
          <w:numId w:val="5"/>
        </w:numPr>
        <w:ind w:hanging="283"/>
        <w:jc w:val="both"/>
        <w:rPr>
          <w:i/>
          <w:iCs/>
          <w:u w:val="single"/>
        </w:rPr>
      </w:pPr>
      <w:r>
        <w:rPr>
          <w:i/>
          <w:iCs/>
          <w:u w:val="single"/>
        </w:rPr>
        <w:t>La cotation sur le marché primaire</w:t>
      </w:r>
    </w:p>
    <w:p w:rsidR="00DC578D" w:rsidRPr="003252F1" w:rsidRDefault="00DC578D" w:rsidP="00CF4FC7">
      <w:pPr>
        <w:ind w:left="567" w:hanging="283"/>
        <w:jc w:val="both"/>
        <w:rPr>
          <w:iCs/>
        </w:rPr>
      </w:pPr>
      <w:r>
        <w:sym w:font="Symbol" w:char="F0B7"/>
      </w:r>
      <w:r>
        <w:t xml:space="preserve"> </w:t>
      </w:r>
      <w:r w:rsidRPr="003252F1">
        <w:rPr>
          <w:iCs/>
        </w:rPr>
        <w:t>La première cotation d’une SA</w:t>
      </w:r>
    </w:p>
    <w:p w:rsidR="00DC578D" w:rsidRPr="00CF4FC7" w:rsidRDefault="00DC578D" w:rsidP="003252F1">
      <w:pPr>
        <w:ind w:left="567" w:hanging="283"/>
        <w:jc w:val="both"/>
        <w:rPr>
          <w:iCs/>
        </w:rPr>
      </w:pPr>
      <w:r>
        <w:sym w:font="Symbol" w:char="F0B7"/>
      </w:r>
      <w:r w:rsidRPr="003252F1">
        <w:rPr>
          <w:iCs/>
        </w:rPr>
        <w:t xml:space="preserve"> L’augmentation du capital d’une SA</w:t>
      </w:r>
    </w:p>
    <w:p w:rsidR="00DC578D" w:rsidRDefault="00DC578D" w:rsidP="00C5472E">
      <w:pPr>
        <w:numPr>
          <w:ilvl w:val="0"/>
          <w:numId w:val="5"/>
        </w:numPr>
        <w:ind w:hanging="283"/>
        <w:jc w:val="both"/>
        <w:rPr>
          <w:i/>
          <w:iCs/>
          <w:u w:val="single"/>
        </w:rPr>
      </w:pPr>
      <w:r>
        <w:rPr>
          <w:i/>
          <w:iCs/>
          <w:u w:val="single"/>
        </w:rPr>
        <w:t>La cotation sur le marché secondaire</w:t>
      </w:r>
    </w:p>
    <w:p w:rsidR="00DC578D" w:rsidRPr="00634D6B" w:rsidRDefault="00DC578D" w:rsidP="00C5472E">
      <w:pPr>
        <w:ind w:left="284"/>
        <w:jc w:val="both"/>
      </w:pPr>
      <w:r>
        <w:sym w:font="Symbol" w:char="F0B7"/>
      </w:r>
      <w:r>
        <w:t xml:space="preserve"> </w:t>
      </w:r>
      <w:r w:rsidRPr="00634D6B">
        <w:t>L’exemple de la société générale</w:t>
      </w:r>
    </w:p>
    <w:p w:rsidR="00DC578D" w:rsidRPr="004D5037" w:rsidRDefault="00DC578D" w:rsidP="004D5037">
      <w:pPr>
        <w:ind w:left="284"/>
        <w:jc w:val="both"/>
        <w:rPr>
          <w:iCs/>
        </w:rPr>
      </w:pPr>
      <w:r>
        <w:rPr>
          <w:iCs/>
        </w:rPr>
        <w:sym w:font="Wingdings" w:char="F0D8"/>
      </w:r>
      <w:r>
        <w:rPr>
          <w:iCs/>
        </w:rPr>
        <w:t xml:space="preserve"> </w:t>
      </w:r>
      <w:r w:rsidRPr="00634D6B">
        <w:rPr>
          <w:iCs/>
        </w:rPr>
        <w:t>Présentation de la société</w:t>
      </w:r>
    </w:p>
    <w:p w:rsidR="00DC578D" w:rsidRPr="003252F1" w:rsidRDefault="00DC578D" w:rsidP="004D5037">
      <w:pPr>
        <w:suppressAutoHyphens w:val="0"/>
        <w:jc w:val="both"/>
        <w:rPr>
          <w:rFonts w:ascii="Times" w:hAnsi="Times"/>
          <w:sz w:val="20"/>
          <w:szCs w:val="20"/>
          <w:lang w:eastAsia="fr-FR"/>
        </w:rPr>
      </w:pPr>
      <w:r w:rsidRPr="003252F1">
        <w:rPr>
          <w:rFonts w:ascii="Times" w:hAnsi="Times"/>
          <w:sz w:val="20"/>
          <w:szCs w:val="20"/>
          <w:lang w:eastAsia="fr-FR"/>
        </w:rPr>
        <w:t xml:space="preserve">La </w:t>
      </w:r>
      <w:r w:rsidRPr="003252F1">
        <w:rPr>
          <w:rFonts w:ascii="Times" w:hAnsi="Times"/>
          <w:b/>
          <w:bCs/>
          <w:sz w:val="20"/>
          <w:szCs w:val="20"/>
          <w:lang w:eastAsia="fr-FR"/>
        </w:rPr>
        <w:t>Société Générale</w:t>
      </w:r>
      <w:r w:rsidRPr="003252F1">
        <w:rPr>
          <w:rFonts w:ascii="Times" w:hAnsi="Times"/>
          <w:sz w:val="20"/>
          <w:szCs w:val="20"/>
          <w:lang w:eastAsia="fr-FR"/>
        </w:rPr>
        <w:t xml:space="preserve"> est l’une des plus anciennes banques françaises non mutualistes (avec LCL et </w:t>
      </w:r>
      <w:hyperlink r:id="rId5" w:tooltip="BNP Paribas" w:history="1">
        <w:r w:rsidRPr="003252F1">
          <w:rPr>
            <w:rFonts w:ascii="Times" w:hAnsi="Times"/>
            <w:color w:val="0000FF"/>
            <w:sz w:val="20"/>
            <w:szCs w:val="20"/>
            <w:u w:val="single"/>
            <w:lang w:eastAsia="fr-FR"/>
          </w:rPr>
          <w:t>BNP Paribas</w:t>
        </w:r>
      </w:hyperlink>
      <w:r w:rsidRPr="003252F1">
        <w:rPr>
          <w:rFonts w:ascii="Times" w:hAnsi="Times"/>
          <w:sz w:val="20"/>
          <w:szCs w:val="20"/>
          <w:lang w:eastAsia="fr-FR"/>
        </w:rPr>
        <w:t>) : fondée au XIXe siècle, elle fut nationalisée en 1945, puis à nouveau privatisée en 1987.  </w:t>
      </w:r>
    </w:p>
    <w:p w:rsidR="00DC578D" w:rsidRPr="003252F1" w:rsidRDefault="00DC578D" w:rsidP="004D5037">
      <w:pPr>
        <w:suppressAutoHyphens w:val="0"/>
        <w:jc w:val="both"/>
        <w:rPr>
          <w:rFonts w:ascii="Times" w:hAnsi="Times"/>
          <w:sz w:val="20"/>
          <w:szCs w:val="20"/>
          <w:lang w:eastAsia="fr-FR"/>
        </w:rPr>
      </w:pPr>
      <w:r w:rsidRPr="003252F1">
        <w:rPr>
          <w:rFonts w:ascii="Times" w:hAnsi="Times"/>
          <w:sz w:val="20"/>
          <w:szCs w:val="20"/>
          <w:u w:val="single"/>
          <w:lang w:eastAsia="fr-FR"/>
        </w:rPr>
        <w:t>L’activité de la Société générale se répartit de la façon suivante par domaines de spécialité :</w:t>
      </w:r>
    </w:p>
    <w:p w:rsidR="00DC578D" w:rsidRPr="003252F1" w:rsidRDefault="00DC578D" w:rsidP="004D5037">
      <w:pPr>
        <w:numPr>
          <w:ilvl w:val="0"/>
          <w:numId w:val="7"/>
        </w:numPr>
        <w:suppressAutoHyphens w:val="0"/>
        <w:jc w:val="both"/>
        <w:rPr>
          <w:rFonts w:ascii="Times" w:hAnsi="Times"/>
          <w:sz w:val="20"/>
          <w:szCs w:val="20"/>
          <w:lang w:eastAsia="fr-FR"/>
        </w:rPr>
      </w:pPr>
      <w:r w:rsidRPr="003252F1">
        <w:rPr>
          <w:rFonts w:ascii="Times" w:hAnsi="Times"/>
          <w:sz w:val="20"/>
          <w:szCs w:val="20"/>
          <w:lang w:eastAsia="fr-FR"/>
        </w:rPr>
        <w:t xml:space="preserve">Banque de détail et services financiers et d’assurance (crédit à la consommation, crédit-bail, assurance-vie, etc.) en France et à l’international : 61 % du chiffre d’affaires ; </w:t>
      </w:r>
    </w:p>
    <w:p w:rsidR="00DC578D" w:rsidRPr="003252F1" w:rsidRDefault="00DC578D" w:rsidP="004D5037">
      <w:pPr>
        <w:numPr>
          <w:ilvl w:val="0"/>
          <w:numId w:val="8"/>
        </w:numPr>
        <w:suppressAutoHyphens w:val="0"/>
        <w:jc w:val="both"/>
        <w:rPr>
          <w:rFonts w:ascii="Times" w:hAnsi="Times"/>
          <w:sz w:val="20"/>
          <w:szCs w:val="20"/>
          <w:lang w:eastAsia="fr-FR"/>
        </w:rPr>
      </w:pPr>
      <w:r w:rsidRPr="003252F1">
        <w:rPr>
          <w:rFonts w:ascii="Times" w:hAnsi="Times"/>
          <w:sz w:val="20"/>
          <w:szCs w:val="20"/>
          <w:lang w:eastAsia="fr-FR"/>
        </w:rPr>
        <w:t xml:space="preserve">Banque de financement et d’investissement (n°3 européen, financement de projets d’entreprise, interventions sur les marchés financiers de tous types, conseil en fusions-acquisitions, etc.) : 28 % du chiffre d’affaires ; </w:t>
      </w:r>
    </w:p>
    <w:p w:rsidR="00DC578D" w:rsidRPr="003252F1" w:rsidRDefault="00DC578D" w:rsidP="004D5037">
      <w:pPr>
        <w:numPr>
          <w:ilvl w:val="0"/>
          <w:numId w:val="9"/>
        </w:numPr>
        <w:suppressAutoHyphens w:val="0"/>
        <w:jc w:val="both"/>
        <w:rPr>
          <w:rFonts w:ascii="Times" w:hAnsi="Times"/>
          <w:sz w:val="20"/>
          <w:szCs w:val="20"/>
          <w:lang w:eastAsia="fr-FR"/>
        </w:rPr>
      </w:pPr>
      <w:r w:rsidRPr="003252F1">
        <w:rPr>
          <w:rFonts w:ascii="Times" w:hAnsi="Times"/>
          <w:sz w:val="20"/>
          <w:szCs w:val="20"/>
          <w:lang w:eastAsia="fr-FR"/>
        </w:rPr>
        <w:t>Gestion d’actifs (gestion de fortune et gestion immobilière, courtage en ligne via la société Boursorama) : 11 % du chiffre d’affaires.</w:t>
      </w:r>
    </w:p>
    <w:p w:rsidR="00DC578D" w:rsidRPr="003252F1" w:rsidRDefault="00DC578D" w:rsidP="004D5037">
      <w:pPr>
        <w:suppressAutoHyphens w:val="0"/>
        <w:jc w:val="both"/>
        <w:rPr>
          <w:rFonts w:ascii="Times" w:hAnsi="Times"/>
          <w:sz w:val="20"/>
          <w:szCs w:val="20"/>
          <w:lang w:eastAsia="fr-FR"/>
        </w:rPr>
      </w:pPr>
      <w:r w:rsidRPr="003252F1">
        <w:rPr>
          <w:rFonts w:ascii="Times" w:hAnsi="Times"/>
          <w:sz w:val="20"/>
          <w:szCs w:val="20"/>
          <w:lang w:eastAsia="fr-FR"/>
        </w:rPr>
        <w:t xml:space="preserve">Le </w:t>
      </w:r>
      <w:r w:rsidRPr="003252F1">
        <w:rPr>
          <w:rFonts w:ascii="Times" w:hAnsi="Times"/>
          <w:b/>
          <w:bCs/>
          <w:sz w:val="20"/>
          <w:szCs w:val="20"/>
          <w:lang w:eastAsia="fr-FR"/>
        </w:rPr>
        <w:t>groupe Société Générale</w:t>
      </w:r>
      <w:r w:rsidRPr="003252F1">
        <w:rPr>
          <w:rFonts w:ascii="Times" w:hAnsi="Times"/>
          <w:sz w:val="20"/>
          <w:szCs w:val="20"/>
          <w:lang w:eastAsia="fr-FR"/>
        </w:rPr>
        <w:t xml:space="preserve"> réalise 43 % de son activité en France, 39 % dans le reste de l’Europe, 9 % en Amérique du Nord et du Sud, etc.</w:t>
      </w:r>
    </w:p>
    <w:p w:rsidR="00DC578D" w:rsidRPr="003252F1" w:rsidRDefault="00DC578D" w:rsidP="004D5037">
      <w:pPr>
        <w:suppressAutoHyphens w:val="0"/>
        <w:jc w:val="both"/>
        <w:rPr>
          <w:rFonts w:ascii="Times" w:hAnsi="Times"/>
          <w:sz w:val="20"/>
          <w:szCs w:val="20"/>
          <w:lang w:eastAsia="fr-FR"/>
        </w:rPr>
      </w:pPr>
      <w:r w:rsidRPr="003252F1">
        <w:rPr>
          <w:rFonts w:ascii="Times" w:hAnsi="Times"/>
          <w:sz w:val="20"/>
          <w:szCs w:val="20"/>
          <w:lang w:eastAsia="fr-FR"/>
        </w:rPr>
        <w:t xml:space="preserve">Cotés sur </w:t>
      </w:r>
      <w:hyperlink r:id="rId6" w:tooltip="Euronext Paris" w:history="1">
        <w:r w:rsidRPr="003252F1">
          <w:rPr>
            <w:rFonts w:ascii="Times" w:hAnsi="Times"/>
            <w:color w:val="0000FF"/>
            <w:sz w:val="20"/>
            <w:szCs w:val="20"/>
            <w:u w:val="single"/>
            <w:lang w:eastAsia="fr-FR"/>
          </w:rPr>
          <w:t>Euronext Paris</w:t>
        </w:r>
      </w:hyperlink>
      <w:r w:rsidRPr="003252F1">
        <w:rPr>
          <w:rFonts w:ascii="Times" w:hAnsi="Times"/>
          <w:sz w:val="20"/>
          <w:szCs w:val="20"/>
          <w:lang w:eastAsia="fr-FR"/>
        </w:rPr>
        <w:t xml:space="preserve"> (NYSE-Euronext), les </w:t>
      </w:r>
      <w:r w:rsidRPr="003252F1">
        <w:rPr>
          <w:rFonts w:ascii="Times" w:hAnsi="Times"/>
          <w:b/>
          <w:bCs/>
          <w:sz w:val="20"/>
          <w:szCs w:val="20"/>
          <w:lang w:eastAsia="fr-FR"/>
        </w:rPr>
        <w:t>titres Société Générale</w:t>
      </w:r>
      <w:r w:rsidRPr="003252F1">
        <w:rPr>
          <w:rFonts w:ascii="Times" w:hAnsi="Times"/>
          <w:sz w:val="20"/>
          <w:szCs w:val="20"/>
          <w:lang w:eastAsia="fr-FR"/>
        </w:rPr>
        <w:t xml:space="preserve"> figurent au </w:t>
      </w:r>
      <w:hyperlink r:id="rId7" w:tooltip="CAC 40" w:history="1">
        <w:r w:rsidRPr="003252F1">
          <w:rPr>
            <w:rFonts w:ascii="Times" w:hAnsi="Times"/>
            <w:color w:val="0000FF"/>
            <w:sz w:val="20"/>
            <w:szCs w:val="20"/>
            <w:u w:val="single"/>
            <w:lang w:eastAsia="fr-FR"/>
          </w:rPr>
          <w:t>CAC 40</w:t>
        </w:r>
      </w:hyperlink>
      <w:r w:rsidRPr="003252F1">
        <w:rPr>
          <w:rFonts w:ascii="Times" w:hAnsi="Times"/>
          <w:sz w:val="20"/>
          <w:szCs w:val="20"/>
          <w:lang w:eastAsia="fr-FR"/>
        </w:rPr>
        <w:t xml:space="preserve"> et leur poids dans cet </w:t>
      </w:r>
      <w:hyperlink r:id="rId8" w:tooltip="indice boursier" w:history="1">
        <w:r w:rsidRPr="003252F1">
          <w:rPr>
            <w:rFonts w:ascii="Times" w:hAnsi="Times"/>
            <w:color w:val="0000FF"/>
            <w:sz w:val="20"/>
            <w:szCs w:val="20"/>
            <w:u w:val="single"/>
            <w:lang w:eastAsia="fr-FR"/>
          </w:rPr>
          <w:t>indice boursier</w:t>
        </w:r>
      </w:hyperlink>
      <w:r w:rsidRPr="003252F1">
        <w:rPr>
          <w:rFonts w:ascii="Times" w:hAnsi="Times"/>
          <w:sz w:val="20"/>
          <w:szCs w:val="20"/>
          <w:lang w:eastAsia="fr-FR"/>
        </w:rPr>
        <w:t xml:space="preserve"> est de 3,95 %.  </w:t>
      </w:r>
    </w:p>
    <w:p w:rsidR="00DC578D" w:rsidRPr="003252F1" w:rsidRDefault="00DC578D" w:rsidP="004D5037">
      <w:pPr>
        <w:suppressAutoHyphens w:val="0"/>
        <w:jc w:val="both"/>
        <w:rPr>
          <w:rFonts w:ascii="Times" w:hAnsi="Times"/>
          <w:sz w:val="20"/>
          <w:szCs w:val="20"/>
          <w:lang w:eastAsia="fr-FR"/>
        </w:rPr>
      </w:pPr>
      <w:r w:rsidRPr="003252F1">
        <w:rPr>
          <w:rFonts w:ascii="Times" w:hAnsi="Times"/>
          <w:sz w:val="20"/>
          <w:szCs w:val="20"/>
          <w:lang w:eastAsia="fr-FR"/>
        </w:rPr>
        <w:t xml:space="preserve">Si les </w:t>
      </w:r>
      <w:r w:rsidRPr="003252F1">
        <w:rPr>
          <w:rFonts w:ascii="Times" w:hAnsi="Times"/>
          <w:b/>
          <w:bCs/>
          <w:sz w:val="20"/>
          <w:szCs w:val="20"/>
          <w:lang w:eastAsia="fr-FR"/>
        </w:rPr>
        <w:t xml:space="preserve">cours des titres </w:t>
      </w:r>
      <w:hyperlink r:id="rId9" w:tooltip="cours Société Générale" w:history="1">
        <w:r w:rsidRPr="003252F1">
          <w:rPr>
            <w:rFonts w:ascii="Times" w:hAnsi="Times"/>
            <w:b/>
            <w:bCs/>
            <w:color w:val="0000FF"/>
            <w:sz w:val="20"/>
            <w:szCs w:val="20"/>
            <w:u w:val="single"/>
            <w:lang w:eastAsia="fr-FR"/>
          </w:rPr>
          <w:t>Société Générale</w:t>
        </w:r>
      </w:hyperlink>
      <w:r w:rsidRPr="003252F1">
        <w:rPr>
          <w:rFonts w:ascii="Times" w:hAnsi="Times"/>
          <w:sz w:val="20"/>
          <w:szCs w:val="20"/>
          <w:lang w:eastAsia="fr-FR"/>
        </w:rPr>
        <w:t xml:space="preserve"> repartent ensuite très fort à la hausse (56,75 euros en août 2009), on assiste à un tassement de ce trend haussier, les </w:t>
      </w:r>
      <w:r w:rsidRPr="003252F1">
        <w:rPr>
          <w:rFonts w:ascii="Times" w:hAnsi="Times"/>
          <w:b/>
          <w:bCs/>
          <w:sz w:val="20"/>
          <w:szCs w:val="20"/>
          <w:lang w:eastAsia="fr-FR"/>
        </w:rPr>
        <w:t>actions Société Générale</w:t>
      </w:r>
      <w:r w:rsidRPr="003252F1">
        <w:rPr>
          <w:rFonts w:ascii="Times" w:hAnsi="Times"/>
          <w:sz w:val="20"/>
          <w:szCs w:val="20"/>
          <w:lang w:eastAsia="fr-FR"/>
        </w:rPr>
        <w:t xml:space="preserve"> cotant à 45,81 euros en avril 2010 pour une </w:t>
      </w:r>
      <w:hyperlink r:id="rId10" w:tooltip="capitalisation boursière" w:history="1">
        <w:r w:rsidRPr="003252F1">
          <w:rPr>
            <w:rFonts w:ascii="Times" w:hAnsi="Times"/>
            <w:color w:val="0000FF"/>
            <w:sz w:val="20"/>
            <w:szCs w:val="20"/>
            <w:u w:val="single"/>
            <w:lang w:eastAsia="fr-FR"/>
          </w:rPr>
          <w:t>capitalisation boursière</w:t>
        </w:r>
      </w:hyperlink>
      <w:r w:rsidRPr="003252F1">
        <w:rPr>
          <w:rFonts w:ascii="Times" w:hAnsi="Times"/>
          <w:sz w:val="20"/>
          <w:szCs w:val="20"/>
          <w:lang w:eastAsia="fr-FR"/>
        </w:rPr>
        <w:t xml:space="preserve"> totale de 33,9 milliards d’euros.</w:t>
      </w:r>
    </w:p>
    <w:p w:rsidR="00DC578D" w:rsidRPr="003252F1" w:rsidRDefault="00DC578D" w:rsidP="004D5037">
      <w:pPr>
        <w:ind w:left="284"/>
        <w:jc w:val="both"/>
        <w:rPr>
          <w:i/>
          <w:iCs/>
          <w:sz w:val="20"/>
          <w:szCs w:val="20"/>
          <w:u w:val="single"/>
        </w:rPr>
        <w:sectPr w:rsidR="00DC578D" w:rsidRPr="003252F1">
          <w:pgSz w:w="11905" w:h="16837"/>
          <w:pgMar w:top="851" w:right="851" w:bottom="851" w:left="851" w:header="720" w:footer="720" w:gutter="0"/>
          <w:cols w:space="720"/>
          <w:docGrid w:linePitch="360"/>
        </w:sectPr>
      </w:pPr>
    </w:p>
    <w:p w:rsidR="00DC578D" w:rsidRDefault="00DC578D" w:rsidP="00C5472E">
      <w:pPr>
        <w:jc w:val="both"/>
        <w:rPr>
          <w:i/>
          <w:iCs/>
          <w:u w:val="single"/>
        </w:rPr>
      </w:pPr>
      <w:r w:rsidRPr="00664749">
        <w:rPr>
          <w:i/>
          <w:noProof/>
          <w:u w:val="single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2" o:spid="_x0000_i1025" type="#_x0000_t75" style="width:175.8pt;height:218.4pt;visibility:visible">
            <v:imagedata r:id="rId11" o:title=""/>
          </v:shape>
        </w:pict>
      </w:r>
    </w:p>
    <w:p w:rsidR="00DC578D" w:rsidRDefault="00DC578D" w:rsidP="00C5472E">
      <w:pPr>
        <w:jc w:val="both"/>
        <w:rPr>
          <w:i/>
          <w:iCs/>
          <w:u w:val="single"/>
        </w:rPr>
      </w:pPr>
    </w:p>
    <w:p w:rsidR="00DC578D" w:rsidRDefault="00DC578D" w:rsidP="00C5472E">
      <w:pPr>
        <w:jc w:val="both"/>
        <w:rPr>
          <w:i/>
          <w:iCs/>
          <w:u w:val="single"/>
        </w:rPr>
      </w:pPr>
    </w:p>
    <w:p w:rsidR="00DC578D" w:rsidRDefault="00DC578D" w:rsidP="00C5472E">
      <w:pPr>
        <w:jc w:val="both"/>
        <w:rPr>
          <w:i/>
          <w:iCs/>
          <w:u w:val="single"/>
        </w:rPr>
        <w:sectPr w:rsidR="00DC578D" w:rsidSect="00C5472E">
          <w:type w:val="continuous"/>
          <w:pgSz w:w="11905" w:h="16837"/>
          <w:pgMar w:top="851" w:right="851" w:bottom="851" w:left="851" w:header="720" w:footer="720" w:gutter="0"/>
          <w:cols w:num="2" w:space="709"/>
          <w:docGrid w:linePitch="360"/>
        </w:sectPr>
      </w:pPr>
    </w:p>
    <w:p w:rsidR="00DC578D" w:rsidRDefault="00DC578D" w:rsidP="00C5472E">
      <w:pPr>
        <w:jc w:val="both"/>
        <w:rPr>
          <w:i/>
          <w:iCs/>
          <w:u w:val="single"/>
        </w:rPr>
      </w:pPr>
    </w:p>
    <w:p w:rsidR="00DC578D" w:rsidRDefault="00DC578D" w:rsidP="00C5472E">
      <w:pPr>
        <w:jc w:val="both"/>
        <w:rPr>
          <w:i/>
          <w:iCs/>
          <w:u w:val="single"/>
        </w:rPr>
      </w:pPr>
    </w:p>
    <w:p w:rsidR="00DC578D" w:rsidRDefault="00DC578D" w:rsidP="00C5472E">
      <w:pPr>
        <w:jc w:val="both"/>
        <w:rPr>
          <w:i/>
          <w:iCs/>
          <w:u w:val="single"/>
        </w:rPr>
      </w:pPr>
    </w:p>
    <w:p w:rsidR="00DC578D" w:rsidRPr="00634D6B" w:rsidRDefault="00DC578D" w:rsidP="00C5472E">
      <w:pPr>
        <w:ind w:firstLine="708"/>
        <w:jc w:val="both"/>
        <w:rPr>
          <w:iCs/>
        </w:rPr>
      </w:pPr>
      <w:r>
        <w:rPr>
          <w:iCs/>
        </w:rPr>
        <w:sym w:font="Symbol" w:char="F0B7"/>
      </w:r>
      <w:r>
        <w:rPr>
          <w:iCs/>
        </w:rPr>
        <w:t xml:space="preserve"> </w:t>
      </w:r>
      <w:r w:rsidRPr="00634D6B">
        <w:rPr>
          <w:iCs/>
        </w:rPr>
        <w:t>L'état du marché à un moment précis</w:t>
      </w:r>
    </w:p>
    <w:p w:rsidR="00DC578D" w:rsidRDefault="00DC578D" w:rsidP="00C5472E">
      <w:r w:rsidRPr="00DE3A88">
        <w:rPr>
          <w:noProof/>
          <w:lang w:eastAsia="fr-FR"/>
        </w:rPr>
        <w:pict>
          <v:shape id="Image 14" o:spid="_x0000_i1026" type="#_x0000_t75" style="width:244.8pt;height:189.6pt;visibility:visible">
            <v:imagedata r:id="rId12" o:title=""/>
          </v:shape>
        </w:pict>
      </w:r>
    </w:p>
    <w:p w:rsidR="00DC578D" w:rsidRDefault="00DC578D" w:rsidP="00C5472E"/>
    <w:p w:rsidR="00DC578D" w:rsidRPr="00634D6B" w:rsidRDefault="00DC578D" w:rsidP="00C5472E">
      <w:pPr>
        <w:ind w:firstLine="708"/>
        <w:rPr>
          <w:iCs/>
        </w:rPr>
      </w:pPr>
      <w:r w:rsidRPr="00634D6B">
        <w:rPr>
          <w:iCs/>
        </w:rPr>
        <w:sym w:font="Symbol" w:char="F0B7"/>
      </w:r>
      <w:r w:rsidRPr="00634D6B">
        <w:rPr>
          <w:iCs/>
        </w:rPr>
        <w:t xml:space="preserve"> L'évolution du cours de l'action au cours d'une journée</w:t>
      </w:r>
    </w:p>
    <w:p w:rsidR="00DC578D" w:rsidRDefault="00DC578D" w:rsidP="00C5472E">
      <w:r w:rsidRPr="00DE3A88">
        <w:rPr>
          <w:noProof/>
          <w:lang w:eastAsia="fr-FR"/>
        </w:rPr>
        <w:pict>
          <v:shape id="Image 16" o:spid="_x0000_i1027" type="#_x0000_t75" style="width:273pt;height:196.8pt;visibility:visible">
            <v:imagedata r:id="rId13" o:title=""/>
          </v:shape>
        </w:pict>
      </w:r>
    </w:p>
    <w:p w:rsidR="00DC578D" w:rsidRDefault="00DC578D" w:rsidP="00C5472E"/>
    <w:p w:rsidR="00DC578D" w:rsidRDefault="00DC578D" w:rsidP="00C5472E">
      <w:r w:rsidRPr="00DE3A88">
        <w:rPr>
          <w:noProof/>
          <w:lang w:eastAsia="fr-FR"/>
        </w:rPr>
        <w:pict>
          <v:shape id="Image 17" o:spid="_x0000_i1028" type="#_x0000_t75" style="width:293.4pt;height:136.2pt;visibility:visible">
            <v:imagedata r:id="rId14" o:title=""/>
          </v:shape>
        </w:pict>
      </w:r>
    </w:p>
    <w:p w:rsidR="00DC578D" w:rsidRDefault="00DC578D" w:rsidP="00C5472E"/>
    <w:p w:rsidR="00DC578D" w:rsidRPr="00634D6B" w:rsidRDefault="00DC578D" w:rsidP="00C5472E">
      <w:pPr>
        <w:ind w:firstLine="708"/>
        <w:rPr>
          <w:iCs/>
        </w:rPr>
      </w:pPr>
      <w:r>
        <w:rPr>
          <w:iCs/>
        </w:rPr>
        <w:sym w:font="Symbol" w:char="F0B7"/>
      </w:r>
      <w:r>
        <w:rPr>
          <w:iCs/>
        </w:rPr>
        <w:t xml:space="preserve"> </w:t>
      </w:r>
      <w:r w:rsidRPr="00634D6B">
        <w:rPr>
          <w:iCs/>
        </w:rPr>
        <w:t>L'évolution du cours d'une action sur une plus longue durée</w:t>
      </w:r>
    </w:p>
    <w:p w:rsidR="00DC578D" w:rsidRDefault="00DC578D" w:rsidP="00C5472E">
      <w:r w:rsidRPr="00DE3A88">
        <w:rPr>
          <w:noProof/>
          <w:lang w:eastAsia="fr-FR"/>
        </w:rPr>
        <w:pict>
          <v:shape id="Image 20" o:spid="_x0000_i1029" type="#_x0000_t75" style="width:261.6pt;height:138.6pt;visibility:visible">
            <v:imagedata r:id="rId15" o:title=""/>
          </v:shape>
        </w:pict>
      </w:r>
    </w:p>
    <w:p w:rsidR="00DC578D" w:rsidRDefault="00DC578D" w:rsidP="00C5472E">
      <w:pPr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Qu'est-ce qui détermine le niveau de l'offre et la demande d'une action?</w:t>
      </w:r>
    </w:p>
    <w:p w:rsidR="00DC578D" w:rsidRDefault="00DC578D" w:rsidP="00477761">
      <w:pPr>
        <w:numPr>
          <w:ilvl w:val="1"/>
          <w:numId w:val="6"/>
        </w:numPr>
        <w:jc w:val="both"/>
        <w:rPr>
          <w:i/>
          <w:u w:val="single"/>
        </w:rPr>
      </w:pPr>
      <w:r>
        <w:rPr>
          <w:i/>
          <w:u w:val="single"/>
        </w:rPr>
        <w:t>La vision néoclassique : la théorie des marchés efficients</w:t>
      </w:r>
    </w:p>
    <w:p w:rsidR="00DC578D" w:rsidRDefault="00DC578D" w:rsidP="00477761">
      <w:pPr>
        <w:jc w:val="both"/>
        <w:rPr>
          <w:i/>
          <w:u w:val="single"/>
        </w:rPr>
      </w:pPr>
      <w:r w:rsidRPr="00664749">
        <w:rPr>
          <w:i/>
          <w:noProof/>
          <w:u w:val="single"/>
          <w:lang w:eastAsia="fr-FR"/>
        </w:rPr>
        <w:pict>
          <v:shape id="Image 21" o:spid="_x0000_i1030" type="#_x0000_t75" style="width:391.8pt;height:213pt;visibility:visible">
            <v:imagedata r:id="rId16" o:title=""/>
          </v:shape>
        </w:pict>
      </w:r>
    </w:p>
    <w:p w:rsidR="00DC578D" w:rsidRDefault="00DC578D" w:rsidP="00477761">
      <w:pPr>
        <w:jc w:val="both"/>
        <w:rPr>
          <w:i/>
          <w:u w:val="single"/>
        </w:rPr>
      </w:pPr>
    </w:p>
    <w:p w:rsidR="00DC578D" w:rsidRDefault="00DC578D" w:rsidP="00477761">
      <w:pPr>
        <w:jc w:val="both"/>
        <w:rPr>
          <w:i/>
          <w:u w:val="single"/>
        </w:rPr>
      </w:pPr>
      <w:r w:rsidRPr="00664749">
        <w:rPr>
          <w:i/>
          <w:noProof/>
          <w:u w:val="single"/>
          <w:lang w:eastAsia="fr-FR"/>
        </w:rPr>
        <w:pict>
          <v:shape id="Image 22" o:spid="_x0000_i1031" type="#_x0000_t75" style="width:393.6pt;height:213pt;visibility:visible">
            <v:imagedata r:id="rId17" o:title=""/>
          </v:shape>
        </w:pict>
      </w:r>
    </w:p>
    <w:p w:rsidR="00DC578D" w:rsidRDefault="00DC578D" w:rsidP="00477761">
      <w:pPr>
        <w:jc w:val="both"/>
        <w:rPr>
          <w:i/>
          <w:u w:val="single"/>
        </w:rPr>
      </w:pPr>
    </w:p>
    <w:p w:rsidR="00DC578D" w:rsidRDefault="00DC578D" w:rsidP="00477761">
      <w:pPr>
        <w:jc w:val="both"/>
        <w:rPr>
          <w:i/>
          <w:u w:val="single"/>
        </w:rPr>
      </w:pPr>
      <w:r w:rsidRPr="00664749">
        <w:rPr>
          <w:i/>
          <w:noProof/>
          <w:u w:val="single"/>
          <w:lang w:eastAsia="fr-FR"/>
        </w:rPr>
        <w:pict>
          <v:shape id="Image 25" o:spid="_x0000_i1032" type="#_x0000_t75" style="width:351pt;height:264pt;visibility:visible">
            <v:imagedata r:id="rId18" o:title=""/>
          </v:shape>
        </w:pict>
      </w:r>
    </w:p>
    <w:p w:rsidR="00DC578D" w:rsidRDefault="00DC578D" w:rsidP="00477761">
      <w:pPr>
        <w:jc w:val="both"/>
        <w:rPr>
          <w:i/>
          <w:u w:val="single"/>
        </w:rPr>
      </w:pPr>
    </w:p>
    <w:p w:rsidR="00DC578D" w:rsidRDefault="00DC578D" w:rsidP="00477761">
      <w:pPr>
        <w:jc w:val="both"/>
        <w:rPr>
          <w:i/>
          <w:u w:val="single"/>
        </w:rPr>
      </w:pPr>
    </w:p>
    <w:p w:rsidR="00DC578D" w:rsidRDefault="00DC578D" w:rsidP="00477761">
      <w:pPr>
        <w:numPr>
          <w:ilvl w:val="1"/>
          <w:numId w:val="6"/>
        </w:numPr>
        <w:jc w:val="both"/>
        <w:rPr>
          <w:i/>
          <w:u w:val="single"/>
        </w:rPr>
      </w:pPr>
      <w:r>
        <w:rPr>
          <w:i/>
          <w:u w:val="single"/>
        </w:rPr>
        <w:t>La théorie keynésienne</w:t>
      </w:r>
    </w:p>
    <w:p w:rsidR="00DC578D" w:rsidRDefault="00DC578D" w:rsidP="0070099B">
      <w:pPr>
        <w:jc w:val="both"/>
        <w:rPr>
          <w:i/>
          <w:u w:val="single"/>
        </w:rPr>
      </w:pPr>
      <w:r w:rsidRPr="00664749">
        <w:rPr>
          <w:i/>
          <w:noProof/>
          <w:u w:val="single"/>
          <w:lang w:eastAsia="fr-FR"/>
        </w:rPr>
        <w:pict>
          <v:shape id="Image 26" o:spid="_x0000_i1033" type="#_x0000_t75" style="width:378.6pt;height:194.4pt;visibility:visible">
            <v:imagedata r:id="rId19" o:title=""/>
          </v:shape>
        </w:pict>
      </w:r>
    </w:p>
    <w:p w:rsidR="00DC578D" w:rsidRDefault="00DC578D" w:rsidP="0070099B">
      <w:pPr>
        <w:jc w:val="both"/>
        <w:rPr>
          <w:i/>
          <w:u w:val="single"/>
        </w:rPr>
      </w:pPr>
    </w:p>
    <w:p w:rsidR="00DC578D" w:rsidRDefault="00DC578D" w:rsidP="0070099B">
      <w:pPr>
        <w:jc w:val="both"/>
        <w:rPr>
          <w:i/>
          <w:u w:val="single"/>
        </w:rPr>
      </w:pPr>
      <w:r w:rsidRPr="00664749">
        <w:rPr>
          <w:i/>
          <w:noProof/>
          <w:u w:val="single"/>
          <w:lang w:eastAsia="fr-FR"/>
        </w:rPr>
        <w:pict>
          <v:shape id="Image 27" o:spid="_x0000_i1034" type="#_x0000_t75" style="width:406.2pt;height:179.4pt;visibility:visible">
            <v:imagedata r:id="rId20" o:title=""/>
          </v:shape>
        </w:pict>
      </w:r>
    </w:p>
    <w:p w:rsidR="00DC578D" w:rsidRDefault="00DC578D" w:rsidP="0070099B">
      <w:pPr>
        <w:jc w:val="both"/>
        <w:rPr>
          <w:i/>
          <w:u w:val="single"/>
        </w:rPr>
      </w:pPr>
    </w:p>
    <w:p w:rsidR="00DC578D" w:rsidRDefault="00DC578D" w:rsidP="0070099B">
      <w:pPr>
        <w:jc w:val="both"/>
        <w:rPr>
          <w:i/>
          <w:u w:val="single"/>
        </w:rPr>
      </w:pPr>
    </w:p>
    <w:p w:rsidR="00DC578D" w:rsidRPr="00477761" w:rsidRDefault="00DC578D" w:rsidP="0070099B">
      <w:pPr>
        <w:jc w:val="both"/>
        <w:rPr>
          <w:i/>
          <w:u w:val="single"/>
        </w:rPr>
      </w:pPr>
    </w:p>
    <w:p w:rsidR="00DC578D" w:rsidRDefault="00DC578D" w:rsidP="00C5472E">
      <w:pPr>
        <w:numPr>
          <w:ilvl w:val="0"/>
          <w:numId w:val="6"/>
        </w:numPr>
        <w:tabs>
          <w:tab w:val="clear" w:pos="1134"/>
          <w:tab w:val="num" w:pos="567"/>
        </w:tabs>
        <w:ind w:hanging="708"/>
        <w:jc w:val="both"/>
        <w:rPr>
          <w:b/>
          <w:u w:val="single"/>
        </w:rPr>
      </w:pPr>
      <w:r>
        <w:rPr>
          <w:b/>
          <w:u w:val="single"/>
        </w:rPr>
        <w:t>Le CAC 40, l’indice boursier de référence de la bourse de Paris</w:t>
      </w:r>
    </w:p>
    <w:p w:rsidR="00DC578D" w:rsidRDefault="00DC578D" w:rsidP="00C5472E">
      <w:pPr>
        <w:numPr>
          <w:ilvl w:val="1"/>
          <w:numId w:val="6"/>
        </w:numPr>
        <w:tabs>
          <w:tab w:val="clear" w:pos="1647"/>
          <w:tab w:val="num" w:pos="709"/>
        </w:tabs>
        <w:ind w:hanging="1363"/>
        <w:jc w:val="both"/>
        <w:rPr>
          <w:i/>
          <w:iCs/>
          <w:u w:val="single"/>
        </w:rPr>
      </w:pPr>
      <w:r>
        <w:rPr>
          <w:i/>
          <w:iCs/>
          <w:u w:val="single"/>
        </w:rPr>
        <w:t>De quoi est constitué le CAC 40?</w:t>
      </w:r>
    </w:p>
    <w:p w:rsidR="00DC578D" w:rsidRDefault="00DC578D" w:rsidP="0070099B">
      <w:pPr>
        <w:jc w:val="both"/>
        <w:rPr>
          <w:i/>
          <w:iCs/>
          <w:u w:val="single"/>
        </w:rPr>
      </w:pPr>
    </w:p>
    <w:p w:rsidR="00DC578D" w:rsidRDefault="00DC578D" w:rsidP="0070099B">
      <w:pPr>
        <w:jc w:val="both"/>
        <w:rPr>
          <w:i/>
          <w:iCs/>
          <w:u w:val="single"/>
        </w:rPr>
      </w:pPr>
      <w:r w:rsidRPr="00664749">
        <w:rPr>
          <w:i/>
          <w:noProof/>
          <w:u w:val="single"/>
          <w:lang w:eastAsia="fr-FR"/>
        </w:rPr>
        <w:pict>
          <v:shape id="Image 37" o:spid="_x0000_i1035" type="#_x0000_t75" style="width:505.8pt;height:473.4pt;visibility:visible">
            <v:imagedata r:id="rId21" o:title=""/>
          </v:shape>
        </w:pict>
      </w:r>
    </w:p>
    <w:p w:rsidR="00DC578D" w:rsidRDefault="00DC578D" w:rsidP="0070099B">
      <w:pPr>
        <w:jc w:val="both"/>
        <w:rPr>
          <w:i/>
          <w:iCs/>
          <w:u w:val="single"/>
        </w:rPr>
      </w:pPr>
      <w:r w:rsidRPr="00664749">
        <w:rPr>
          <w:i/>
          <w:noProof/>
          <w:u w:val="single"/>
          <w:lang w:eastAsia="fr-FR"/>
        </w:rPr>
        <w:pict>
          <v:shape id="Image 38" o:spid="_x0000_i1036" type="#_x0000_t75" style="width:508.2pt;height:127.2pt;visibility:visible">
            <v:imagedata r:id="rId22" o:title=""/>
          </v:shape>
        </w:pict>
      </w:r>
    </w:p>
    <w:p w:rsidR="00DC578D" w:rsidRDefault="00DC578D" w:rsidP="003252F1">
      <w:pPr>
        <w:ind w:left="426"/>
        <w:rPr>
          <w:i/>
          <w:iCs/>
          <w:u w:val="single"/>
        </w:rPr>
      </w:pPr>
    </w:p>
    <w:p w:rsidR="00DC578D" w:rsidRDefault="00DC578D" w:rsidP="003252F1">
      <w:pPr>
        <w:ind w:left="426"/>
        <w:rPr>
          <w:i/>
          <w:iCs/>
          <w:u w:val="single"/>
        </w:rPr>
      </w:pPr>
    </w:p>
    <w:p w:rsidR="00DC578D" w:rsidRDefault="00DC578D" w:rsidP="003252F1">
      <w:pPr>
        <w:ind w:left="426"/>
        <w:rPr>
          <w:i/>
          <w:iCs/>
          <w:u w:val="single"/>
        </w:rPr>
      </w:pPr>
    </w:p>
    <w:p w:rsidR="00DC578D" w:rsidRDefault="00DC578D" w:rsidP="003252F1">
      <w:pPr>
        <w:ind w:left="426"/>
        <w:rPr>
          <w:i/>
          <w:iCs/>
          <w:u w:val="single"/>
        </w:rPr>
      </w:pPr>
    </w:p>
    <w:p w:rsidR="00DC578D" w:rsidRDefault="00DC578D" w:rsidP="003252F1">
      <w:pPr>
        <w:ind w:left="426"/>
        <w:rPr>
          <w:i/>
          <w:iCs/>
          <w:u w:val="single"/>
        </w:rPr>
      </w:pPr>
    </w:p>
    <w:p w:rsidR="00DC578D" w:rsidRDefault="00DC578D" w:rsidP="003252F1">
      <w:pPr>
        <w:ind w:left="426"/>
        <w:rPr>
          <w:i/>
          <w:iCs/>
          <w:u w:val="single"/>
        </w:rPr>
      </w:pPr>
    </w:p>
    <w:p w:rsidR="00DC578D" w:rsidRDefault="00DC578D" w:rsidP="003252F1">
      <w:pPr>
        <w:ind w:left="426"/>
        <w:rPr>
          <w:i/>
          <w:iCs/>
          <w:u w:val="single"/>
        </w:rPr>
      </w:pPr>
    </w:p>
    <w:p w:rsidR="00DC578D" w:rsidRDefault="00DC578D" w:rsidP="003252F1">
      <w:pPr>
        <w:numPr>
          <w:ilvl w:val="1"/>
          <w:numId w:val="6"/>
        </w:numPr>
        <w:tabs>
          <w:tab w:val="clear" w:pos="1647"/>
          <w:tab w:val="num" w:pos="851"/>
        </w:tabs>
        <w:ind w:hanging="1221"/>
        <w:rPr>
          <w:i/>
          <w:iCs/>
          <w:u w:val="single"/>
        </w:rPr>
      </w:pPr>
      <w:r>
        <w:rPr>
          <w:i/>
          <w:iCs/>
          <w:u w:val="single"/>
        </w:rPr>
        <w:t>L'évolution du CAC 40 sur une journée</w:t>
      </w:r>
    </w:p>
    <w:p w:rsidR="00DC578D" w:rsidRDefault="00DC578D" w:rsidP="00C5472E">
      <w:pPr>
        <w:rPr>
          <w:i/>
          <w:iCs/>
          <w:u w:val="single"/>
        </w:rPr>
      </w:pPr>
      <w:r w:rsidRPr="00664749">
        <w:rPr>
          <w:i/>
          <w:noProof/>
          <w:u w:val="single"/>
          <w:lang w:eastAsia="fr-FR"/>
        </w:rPr>
        <w:pict>
          <v:shape id="Espace réservé du contenu 3" o:spid="_x0000_i1037" type="#_x0000_t75" style="width:310.8pt;height:171pt;visibility:visible">
            <v:imagedata r:id="rId23" o:title="" cropleft="-12047f" cropright="-12047f"/>
          </v:shape>
        </w:pict>
      </w:r>
    </w:p>
    <w:p w:rsidR="00DC578D" w:rsidRDefault="00DC578D" w:rsidP="00C5472E"/>
    <w:p w:rsidR="00DC578D" w:rsidRDefault="00DC578D" w:rsidP="00C5472E">
      <w:bookmarkStart w:id="0" w:name="_GoBack"/>
    </w:p>
    <w:p w:rsidR="00DC578D" w:rsidRDefault="00DC578D" w:rsidP="00C5472E">
      <w:pPr>
        <w:numPr>
          <w:ilvl w:val="1"/>
          <w:numId w:val="6"/>
        </w:numPr>
        <w:tabs>
          <w:tab w:val="clear" w:pos="1647"/>
          <w:tab w:val="num" w:pos="851"/>
        </w:tabs>
        <w:ind w:hanging="1221"/>
        <w:rPr>
          <w:i/>
          <w:iCs/>
          <w:u w:val="single"/>
        </w:rPr>
      </w:pPr>
      <w:r>
        <w:rPr>
          <w:i/>
          <w:iCs/>
          <w:u w:val="single"/>
        </w:rPr>
        <w:t>L'évolution du CAC 40 à long terme</w:t>
      </w:r>
    </w:p>
    <w:bookmarkEnd w:id="0"/>
    <w:p w:rsidR="00DC578D" w:rsidRDefault="00DC578D" w:rsidP="00C5472E">
      <w:pPr>
        <w:rPr>
          <w:i/>
          <w:iCs/>
          <w:u w:val="single"/>
        </w:rPr>
      </w:pPr>
      <w:r w:rsidRPr="00664749">
        <w:rPr>
          <w:i/>
          <w:noProof/>
          <w:u w:val="single"/>
          <w:lang w:eastAsia="fr-FR"/>
        </w:rPr>
        <w:pict>
          <v:shape id="_x0000_i1038" type="#_x0000_t75" style="width:357.6pt;height:205.8pt;visibility:visible">
            <v:imagedata r:id="rId24" o:title="" cropleft="-5227f" cropright="-5227f"/>
          </v:shape>
        </w:pict>
      </w:r>
    </w:p>
    <w:p w:rsidR="00DC578D" w:rsidRDefault="00DC578D"/>
    <w:sectPr w:rsidR="00DC578D" w:rsidSect="00C5472E">
      <w:type w:val="continuous"/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1C94A2E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pStyle w:val="Normal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0390BA0"/>
    <w:multiLevelType w:val="multilevel"/>
    <w:tmpl w:val="41F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F814E7"/>
    <w:multiLevelType w:val="multilevel"/>
    <w:tmpl w:val="497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A1E87"/>
    <w:multiLevelType w:val="multilevel"/>
    <w:tmpl w:val="9F1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206B3"/>
    <w:multiLevelType w:val="hybridMultilevel"/>
    <w:tmpl w:val="7B9806C2"/>
    <w:name w:val="WW8Num12"/>
    <w:lvl w:ilvl="0" w:tplc="86BAF2D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Gungsuh"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705E79"/>
    <w:multiLevelType w:val="hybridMultilevel"/>
    <w:tmpl w:val="4650FC5E"/>
    <w:lvl w:ilvl="0" w:tplc="4C8E4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05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D00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4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20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E5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A0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C6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84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4C25981"/>
    <w:multiLevelType w:val="hybridMultilevel"/>
    <w:tmpl w:val="E3140DB8"/>
    <w:lvl w:ilvl="0" w:tplc="BD945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14AB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A0D4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228A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7416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9221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6C10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5685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077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6C1152"/>
    <w:multiLevelType w:val="hybridMultilevel"/>
    <w:tmpl w:val="EF84229E"/>
    <w:lvl w:ilvl="0" w:tplc="0C0CA8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6335FC9"/>
    <w:multiLevelType w:val="hybridMultilevel"/>
    <w:tmpl w:val="2D185CA4"/>
    <w:lvl w:ilvl="0" w:tplc="13A64866">
      <w:start w:val="3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/>
        <w:i w:val="0"/>
      </w:rPr>
    </w:lvl>
    <w:lvl w:ilvl="1" w:tplc="49B8A804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hAnsi="Times New Roman" w:cs="Gungsuh" w:hint="default"/>
        <w:b w:val="0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2E"/>
    <w:rsid w:val="003252F1"/>
    <w:rsid w:val="0033564A"/>
    <w:rsid w:val="00477761"/>
    <w:rsid w:val="004827C2"/>
    <w:rsid w:val="004D5037"/>
    <w:rsid w:val="00634D6B"/>
    <w:rsid w:val="00664749"/>
    <w:rsid w:val="0070099B"/>
    <w:rsid w:val="00761E09"/>
    <w:rsid w:val="00763A83"/>
    <w:rsid w:val="007905F5"/>
    <w:rsid w:val="007B4DE4"/>
    <w:rsid w:val="009536F7"/>
    <w:rsid w:val="00962BEA"/>
    <w:rsid w:val="00973D75"/>
    <w:rsid w:val="00BD3F91"/>
    <w:rsid w:val="00C5472E"/>
    <w:rsid w:val="00CF4FC7"/>
    <w:rsid w:val="00DC578D"/>
    <w:rsid w:val="00DE3A88"/>
    <w:rsid w:val="00F11DCC"/>
    <w:rsid w:val="00F235F5"/>
    <w:rsid w:val="00FC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2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037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en-GB" w:eastAsia="fr-FR"/>
    </w:rPr>
  </w:style>
  <w:style w:type="character" w:styleId="Strong">
    <w:name w:val="Strong"/>
    <w:basedOn w:val="DefaultParagraphFont"/>
    <w:uiPriority w:val="99"/>
    <w:qFormat/>
    <w:rsid w:val="004D503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D50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90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3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903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rse.trader-finance.fr/indice+boursier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bourse.trader-finance.fr/indice+cac+40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bourse.trader-finance.fr/euronext+paris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hyperlink" Target="http://bourse.trader-finance.fr/action+bnp+paribas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bourse.trader-finance.fr/capitalisation+boursiere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bourse.trader-finance.fr/cours-bourse/societe-generale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459</Words>
  <Characters>2529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DOCUMENTAIRE SUR LE FONCTIONNEMENT DU MARCHE DES ACTIONS</dc:title>
  <dc:subject/>
  <dc:creator>RenaudSophie</dc:creator>
  <cp:keywords/>
  <dc:description/>
  <cp:lastModifiedBy>RenaudSophie</cp:lastModifiedBy>
  <cp:revision>3</cp:revision>
  <dcterms:created xsi:type="dcterms:W3CDTF">2013-11-07T17:04:00Z</dcterms:created>
  <dcterms:modified xsi:type="dcterms:W3CDTF">2013-11-07T17:33:00Z</dcterms:modified>
</cp:coreProperties>
</file>