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2D" w:rsidRPr="007061C9" w:rsidRDefault="00DB422D" w:rsidP="001E319B">
      <w:pPr>
        <w:pBdr>
          <w:top w:val="single" w:sz="4" w:space="1" w:color="auto"/>
          <w:left w:val="single" w:sz="4" w:space="4" w:color="auto"/>
          <w:bottom w:val="single" w:sz="4" w:space="1" w:color="auto"/>
          <w:right w:val="single" w:sz="4" w:space="4" w:color="auto"/>
        </w:pBdr>
        <w:jc w:val="center"/>
        <w:rPr>
          <w:rFonts w:ascii="Arial" w:hAnsi="Arial" w:cs="Arial"/>
          <w:b/>
          <w:sz w:val="28"/>
        </w:rPr>
      </w:pPr>
      <w:r w:rsidRPr="007061C9">
        <w:rPr>
          <w:rFonts w:ascii="Arial" w:hAnsi="Arial" w:cs="Arial"/>
          <w:b/>
          <w:sz w:val="28"/>
        </w:rPr>
        <w:t>MESURER LA FLUIDITÉ SOCIALE</w:t>
      </w:r>
    </w:p>
    <w:p w:rsidR="00DB422D" w:rsidRPr="007061C9" w:rsidRDefault="00DB422D" w:rsidP="00106D4D">
      <w:pPr>
        <w:rPr>
          <w:rFonts w:ascii="Arial" w:hAnsi="Arial" w:cs="Arial"/>
        </w:rPr>
      </w:pPr>
    </w:p>
    <w:p w:rsidR="00DB422D" w:rsidRPr="007061C9" w:rsidRDefault="00DB422D" w:rsidP="00106D4D">
      <w:pPr>
        <w:jc w:val="both"/>
        <w:rPr>
          <w:rFonts w:ascii="Arial" w:hAnsi="Arial" w:cs="Arial"/>
        </w:rPr>
      </w:pPr>
      <w:r w:rsidRPr="007061C9">
        <w:rPr>
          <w:rFonts w:ascii="Arial" w:hAnsi="Arial" w:cs="Arial"/>
        </w:rPr>
        <w:t xml:space="preserve">Depuis la fin des années 1970, les sociologues distinguent la </w:t>
      </w:r>
      <w:r w:rsidRPr="007061C9">
        <w:rPr>
          <w:rFonts w:ascii="Arial" w:hAnsi="Arial" w:cs="Arial"/>
          <w:b/>
          <w:bCs/>
        </w:rPr>
        <w:t xml:space="preserve">mobilité absolue </w:t>
      </w:r>
      <w:r w:rsidRPr="007061C9">
        <w:rPr>
          <w:rFonts w:ascii="Arial" w:hAnsi="Arial" w:cs="Arial"/>
        </w:rPr>
        <w:t>et</w:t>
      </w:r>
      <w:r w:rsidRPr="007061C9">
        <w:rPr>
          <w:rFonts w:ascii="Arial" w:hAnsi="Arial" w:cs="Arial"/>
          <w:b/>
          <w:bCs/>
        </w:rPr>
        <w:t xml:space="preserve"> la mobilité relative</w:t>
      </w:r>
      <w:r w:rsidRPr="007061C9">
        <w:rPr>
          <w:rFonts w:ascii="Arial" w:hAnsi="Arial" w:cs="Arial"/>
        </w:rPr>
        <w:t xml:space="preserve">. </w:t>
      </w:r>
    </w:p>
    <w:p w:rsidR="00DB422D" w:rsidRPr="007061C9" w:rsidRDefault="00DB422D" w:rsidP="00106D4D">
      <w:pPr>
        <w:pStyle w:val="ListParagraph"/>
        <w:numPr>
          <w:ilvl w:val="0"/>
          <w:numId w:val="6"/>
        </w:numPr>
        <w:jc w:val="both"/>
        <w:rPr>
          <w:rFonts w:ascii="Arial" w:hAnsi="Arial" w:cs="Arial"/>
        </w:rPr>
      </w:pPr>
      <w:r w:rsidRPr="007061C9">
        <w:rPr>
          <w:rFonts w:ascii="Arial" w:hAnsi="Arial" w:cs="Arial"/>
          <w:b/>
        </w:rPr>
        <w:t>La mobilité absolue</w:t>
      </w:r>
      <w:r w:rsidRPr="007061C9">
        <w:rPr>
          <w:rFonts w:ascii="Arial" w:hAnsi="Arial" w:cs="Arial"/>
        </w:rPr>
        <w:t xml:space="preserve"> est celle qui apparaît dans les tables de mobilité, en intégrant la mobilité structurelle.</w:t>
      </w:r>
    </w:p>
    <w:p w:rsidR="00DB422D" w:rsidRPr="007061C9" w:rsidRDefault="00DB422D" w:rsidP="00106D4D">
      <w:pPr>
        <w:pStyle w:val="ListParagraph"/>
        <w:numPr>
          <w:ilvl w:val="0"/>
          <w:numId w:val="6"/>
        </w:numPr>
        <w:jc w:val="both"/>
        <w:rPr>
          <w:rFonts w:ascii="Arial" w:hAnsi="Arial" w:cs="Arial"/>
        </w:rPr>
      </w:pPr>
      <w:r w:rsidRPr="007061C9">
        <w:rPr>
          <w:rFonts w:ascii="Arial" w:hAnsi="Arial" w:cs="Arial"/>
        </w:rPr>
        <w:t xml:space="preserve">La </w:t>
      </w:r>
      <w:r w:rsidRPr="007061C9">
        <w:rPr>
          <w:rFonts w:ascii="Arial" w:hAnsi="Arial" w:cs="Arial"/>
          <w:b/>
        </w:rPr>
        <w:t>mobilité relative</w:t>
      </w:r>
      <w:r w:rsidRPr="007061C9">
        <w:rPr>
          <w:rFonts w:ascii="Arial" w:hAnsi="Arial" w:cs="Arial"/>
        </w:rPr>
        <w:t xml:space="preserve"> mesure la mobilité d’une catégorie sociale </w:t>
      </w:r>
      <w:r w:rsidRPr="007061C9">
        <w:rPr>
          <w:rFonts w:ascii="Arial" w:hAnsi="Arial" w:cs="Arial"/>
          <w:u w:val="thick"/>
        </w:rPr>
        <w:t>par rapport</w:t>
      </w:r>
      <w:r w:rsidRPr="007061C9">
        <w:rPr>
          <w:rFonts w:ascii="Arial" w:hAnsi="Arial" w:cs="Arial"/>
        </w:rPr>
        <w:t xml:space="preserve"> à une autre, c’est donc une mesure de ce que l’on nomme la </w:t>
      </w:r>
      <w:r w:rsidRPr="007061C9">
        <w:rPr>
          <w:rFonts w:ascii="Arial" w:hAnsi="Arial" w:cs="Arial"/>
          <w:b/>
          <w:bCs/>
        </w:rPr>
        <w:t>fluidité sociale</w:t>
      </w:r>
      <w:r w:rsidRPr="007061C9">
        <w:rPr>
          <w:rFonts w:ascii="Arial" w:hAnsi="Arial" w:cs="Arial"/>
        </w:rPr>
        <w:t>.</w:t>
      </w:r>
    </w:p>
    <w:p w:rsidR="00DB422D" w:rsidRPr="007061C9" w:rsidRDefault="00DB422D" w:rsidP="00106D4D">
      <w:pPr>
        <w:jc w:val="both"/>
        <w:rPr>
          <w:rFonts w:ascii="Arial" w:hAnsi="Arial" w:cs="Arial"/>
        </w:rPr>
      </w:pPr>
    </w:p>
    <w:p w:rsidR="00DB422D" w:rsidRPr="007061C9" w:rsidRDefault="00DB422D" w:rsidP="00106D4D">
      <w:pPr>
        <w:pStyle w:val="ListParagraph"/>
        <w:numPr>
          <w:ilvl w:val="0"/>
          <w:numId w:val="7"/>
        </w:numPr>
        <w:jc w:val="both"/>
        <w:rPr>
          <w:rFonts w:ascii="Arial" w:hAnsi="Arial" w:cs="Arial"/>
          <w:b/>
          <w:u w:val="thick"/>
        </w:rPr>
      </w:pPr>
      <w:r w:rsidRPr="007061C9">
        <w:rPr>
          <w:rFonts w:ascii="Arial" w:hAnsi="Arial" w:cs="Arial"/>
          <w:b/>
          <w:u w:val="thick"/>
        </w:rPr>
        <w:t>Comment mesurer la fluidité sociale?</w:t>
      </w:r>
    </w:p>
    <w:p w:rsidR="00DB422D" w:rsidRPr="007061C9" w:rsidRDefault="00DB422D" w:rsidP="00106D4D">
      <w:pPr>
        <w:jc w:val="both"/>
        <w:rPr>
          <w:rFonts w:ascii="Arial" w:hAnsi="Arial" w:cs="Arial"/>
        </w:rPr>
      </w:pPr>
    </w:p>
    <w:p w:rsidR="00DB422D" w:rsidRPr="007061C9" w:rsidRDefault="00DB422D" w:rsidP="00106D4D">
      <w:pPr>
        <w:jc w:val="both"/>
        <w:rPr>
          <w:rFonts w:ascii="Arial" w:hAnsi="Arial" w:cs="Arial"/>
        </w:rPr>
      </w:pPr>
      <w:r w:rsidRPr="007061C9">
        <w:rPr>
          <w:rFonts w:ascii="Arial" w:hAnsi="Arial" w:cs="Arial"/>
        </w:rPr>
        <w:t xml:space="preserve">On calcule des </w:t>
      </w:r>
      <w:r w:rsidRPr="007061C9">
        <w:rPr>
          <w:rFonts w:ascii="Arial" w:hAnsi="Arial" w:cs="Arial"/>
          <w:b/>
        </w:rPr>
        <w:t>rapports de chance relatives</w:t>
      </w:r>
      <w:r w:rsidRPr="007061C9">
        <w:rPr>
          <w:rFonts w:ascii="Arial" w:hAnsi="Arial" w:cs="Arial"/>
        </w:rPr>
        <w:t xml:space="preserve"> (</w:t>
      </w:r>
      <w:r w:rsidRPr="007061C9">
        <w:rPr>
          <w:rFonts w:ascii="Arial" w:hAnsi="Arial" w:cs="Arial"/>
          <w:b/>
          <w:i/>
          <w:iCs/>
        </w:rPr>
        <w:t>odd ratios</w:t>
      </w:r>
      <w:r w:rsidRPr="007061C9">
        <w:rPr>
          <w:rFonts w:ascii="Arial" w:hAnsi="Arial" w:cs="Arial"/>
        </w:rPr>
        <w:t xml:space="preserve"> en anglais). </w:t>
      </w:r>
    </w:p>
    <w:p w:rsidR="00DB422D" w:rsidRPr="007061C9" w:rsidRDefault="00DB422D" w:rsidP="00106D4D">
      <w:pPr>
        <w:jc w:val="both"/>
        <w:rPr>
          <w:rFonts w:ascii="Arial" w:hAnsi="Arial" w:cs="Arial"/>
        </w:rPr>
      </w:pPr>
    </w:p>
    <w:p w:rsidR="00DB422D" w:rsidRPr="007061C9" w:rsidRDefault="00DB422D" w:rsidP="00106D4D">
      <w:pPr>
        <w:pBdr>
          <w:top w:val="single" w:sz="12" w:space="1" w:color="000000"/>
          <w:left w:val="single" w:sz="12" w:space="4" w:color="000000"/>
          <w:bottom w:val="single" w:sz="12" w:space="1" w:color="000000"/>
          <w:right w:val="single" w:sz="12" w:space="4" w:color="000000"/>
        </w:pBdr>
        <w:jc w:val="both"/>
        <w:rPr>
          <w:rFonts w:ascii="Arial" w:hAnsi="Arial" w:cs="Arial"/>
        </w:rPr>
      </w:pPr>
      <w:r w:rsidRPr="007061C9">
        <w:rPr>
          <w:rFonts w:ascii="Arial" w:hAnsi="Arial" w:cs="Arial"/>
        </w:rPr>
        <w:t xml:space="preserve">Le terme </w:t>
      </w:r>
      <w:r w:rsidRPr="007061C9">
        <w:rPr>
          <w:rFonts w:ascii="Arial" w:hAnsi="Arial" w:cs="Arial"/>
          <w:b/>
          <w:i/>
        </w:rPr>
        <w:t>odd ratio</w:t>
      </w:r>
      <w:r w:rsidRPr="007061C9">
        <w:rPr>
          <w:rFonts w:ascii="Arial" w:hAnsi="Arial" w:cs="Arial"/>
        </w:rPr>
        <w:t xml:space="preserve"> est importé des Etats-Unis, où il désigne à l’origine la cote des paris passes par exemple sur un champ de cours (un cote de “6 contre </w:t>
      </w:r>
      <w:smartTag w:uri="urn:schemas-microsoft-com:office:smarttags" w:element="metricconverter">
        <w:smartTagPr>
          <w:attr w:name="ProductID" w:val="1”"/>
        </w:smartTagPr>
        <w:r w:rsidRPr="007061C9">
          <w:rPr>
            <w:rFonts w:ascii="Arial" w:hAnsi="Arial" w:cs="Arial"/>
          </w:rPr>
          <w:t>1”</w:t>
        </w:r>
      </w:smartTag>
      <w:r w:rsidRPr="007061C9">
        <w:rPr>
          <w:rFonts w:ascii="Arial" w:hAnsi="Arial" w:cs="Arial"/>
        </w:rPr>
        <w:t>)</w:t>
      </w:r>
    </w:p>
    <w:p w:rsidR="00DB422D" w:rsidRPr="007061C9" w:rsidRDefault="00DB422D" w:rsidP="00106D4D">
      <w:pPr>
        <w:pBdr>
          <w:top w:val="single" w:sz="12" w:space="1" w:color="000000"/>
          <w:left w:val="single" w:sz="12" w:space="4" w:color="000000"/>
          <w:bottom w:val="single" w:sz="12" w:space="1" w:color="000000"/>
          <w:right w:val="single" w:sz="12" w:space="4" w:color="000000"/>
        </w:pBdr>
        <w:jc w:val="both"/>
        <w:rPr>
          <w:rFonts w:ascii="Arial" w:hAnsi="Arial" w:cs="Arial"/>
        </w:rPr>
      </w:pPr>
      <w:r w:rsidRPr="007061C9">
        <w:rPr>
          <w:rFonts w:ascii="Arial" w:hAnsi="Arial" w:cs="Arial"/>
        </w:rPr>
        <w:t>Appliqué à la mobilité sociale, l’odd ratio traduit le résultat de la concurrence entre les individus de 2 origines sociales différentes pour atteindre une position sociale plutôt qu’une autre.</w:t>
      </w:r>
    </w:p>
    <w:p w:rsidR="00DB422D" w:rsidRPr="007061C9" w:rsidRDefault="00DB422D" w:rsidP="00106D4D">
      <w:pPr>
        <w:pBdr>
          <w:top w:val="single" w:sz="12" w:space="1" w:color="000000"/>
          <w:left w:val="single" w:sz="12" w:space="4" w:color="000000"/>
          <w:bottom w:val="single" w:sz="12" w:space="1" w:color="000000"/>
          <w:right w:val="single" w:sz="12" w:space="4" w:color="000000"/>
        </w:pBdr>
        <w:jc w:val="both"/>
        <w:rPr>
          <w:rFonts w:ascii="Arial" w:hAnsi="Arial" w:cs="Arial"/>
        </w:rPr>
      </w:pPr>
      <w:r w:rsidRPr="007061C9">
        <w:rPr>
          <w:rFonts w:ascii="Arial" w:hAnsi="Arial" w:cs="Arial"/>
        </w:rPr>
        <w:t>Plus la valeur est proche de 1, plus cette “competition” paraît égale, plus la société est donc fluide.</w:t>
      </w:r>
    </w:p>
    <w:p w:rsidR="00DB422D" w:rsidRPr="007061C9" w:rsidRDefault="00DB422D" w:rsidP="00106D4D">
      <w:pPr>
        <w:jc w:val="both"/>
        <w:rPr>
          <w:rFonts w:ascii="Arial" w:hAnsi="Arial" w:cs="Arial"/>
        </w:rPr>
      </w:pPr>
    </w:p>
    <w:p w:rsidR="00DB422D" w:rsidRPr="00106D4D" w:rsidRDefault="00DB422D" w:rsidP="00106D4D">
      <w:pPr>
        <w:pStyle w:val="ListParagraph"/>
        <w:numPr>
          <w:ilvl w:val="0"/>
          <w:numId w:val="8"/>
        </w:numPr>
        <w:jc w:val="both"/>
        <w:rPr>
          <w:rFonts w:ascii="Arial" w:hAnsi="Arial" w:cs="Arial"/>
          <w:b/>
          <w:u w:val="thick"/>
          <w:lang w:val="en-GB"/>
        </w:rPr>
      </w:pPr>
      <w:r w:rsidRPr="00106D4D">
        <w:rPr>
          <w:rFonts w:ascii="Arial" w:hAnsi="Arial" w:cs="Arial"/>
          <w:b/>
          <w:u w:val="thick"/>
          <w:lang w:val="en-GB"/>
        </w:rPr>
        <w:t>Exemple 1:</w:t>
      </w:r>
    </w:p>
    <w:p w:rsidR="00DB422D" w:rsidRPr="00106D4D" w:rsidRDefault="00DB422D" w:rsidP="00106D4D">
      <w:pPr>
        <w:jc w:val="both"/>
        <w:rPr>
          <w:rFonts w:ascii="Arial" w:hAnsi="Arial" w:cs="Arial"/>
          <w:lang w:val="en-GB"/>
        </w:rPr>
      </w:pPr>
    </w:p>
    <w:p w:rsidR="00DB422D" w:rsidRPr="007061C9" w:rsidRDefault="00DB422D" w:rsidP="00106D4D">
      <w:pPr>
        <w:jc w:val="both"/>
        <w:rPr>
          <w:rFonts w:ascii="Arial" w:hAnsi="Arial" w:cs="Arial"/>
        </w:rPr>
      </w:pPr>
      <w:r w:rsidRPr="007061C9">
        <w:rPr>
          <w:rFonts w:ascii="Arial" w:hAnsi="Arial" w:cs="Arial"/>
        </w:rPr>
        <w:t xml:space="preserve">Sur 100 fils de cadres, 80 deviennent cadres et 20 employés </w:t>
      </w:r>
    </w:p>
    <w:p w:rsidR="00DB422D" w:rsidRPr="007061C9" w:rsidRDefault="00DB422D" w:rsidP="00106D4D">
      <w:pPr>
        <w:jc w:val="both"/>
        <w:rPr>
          <w:rFonts w:ascii="Arial" w:hAnsi="Arial" w:cs="Arial"/>
        </w:rPr>
      </w:pPr>
      <w:r w:rsidRPr="007061C9">
        <w:rPr>
          <w:rFonts w:ascii="Arial" w:hAnsi="Arial" w:cs="Arial"/>
        </w:rPr>
        <w:t>Sur 100 fils d’employés, 60 deviennent employés et 40 cadres.</w:t>
      </w:r>
    </w:p>
    <w:p w:rsidR="00DB422D" w:rsidRPr="007061C9" w:rsidRDefault="00DB422D" w:rsidP="00106D4D">
      <w:pPr>
        <w:jc w:val="both"/>
        <w:rPr>
          <w:rFonts w:ascii="Arial" w:hAnsi="Arial" w:cs="Arial"/>
        </w:rPr>
      </w:pPr>
    </w:p>
    <w:p w:rsidR="00DB422D" w:rsidRPr="007061C9" w:rsidRDefault="00DB422D" w:rsidP="00106D4D">
      <w:pPr>
        <w:jc w:val="both"/>
        <w:rPr>
          <w:rFonts w:ascii="Arial" w:hAnsi="Arial" w:cs="Arial"/>
          <w:i/>
        </w:rPr>
      </w:pPr>
      <w:r w:rsidRPr="007061C9">
        <w:rPr>
          <w:rFonts w:ascii="Arial" w:hAnsi="Arial" w:cs="Arial"/>
          <w:i/>
        </w:rPr>
        <w:t>Q : La probabilité pour un fils d’employé est-elle la même que pour un fils de cadre de devenir cadre?</w:t>
      </w:r>
    </w:p>
    <w:p w:rsidR="00DB422D" w:rsidRPr="007061C9" w:rsidRDefault="00DB422D" w:rsidP="00106D4D">
      <w:pPr>
        <w:jc w:val="both"/>
        <w:rPr>
          <w:rFonts w:ascii="Arial" w:hAnsi="Arial" w:cs="Arial"/>
          <w:i/>
        </w:rPr>
      </w:pPr>
      <w:r w:rsidRPr="007061C9">
        <w:rPr>
          <w:rFonts w:ascii="Arial" w:hAnsi="Arial" w:cs="Arial"/>
          <w:i/>
        </w:rPr>
        <w:t>…………………………………………………………………………………………………………………</w:t>
      </w:r>
    </w:p>
    <w:p w:rsidR="00DB422D" w:rsidRPr="007061C9" w:rsidRDefault="00DB422D" w:rsidP="00106D4D">
      <w:pPr>
        <w:jc w:val="both"/>
        <w:rPr>
          <w:rFonts w:ascii="Arial" w:hAnsi="Arial" w:cs="Arial"/>
          <w:i/>
        </w:rPr>
      </w:pPr>
      <w:r w:rsidRPr="007061C9">
        <w:rPr>
          <w:rFonts w:ascii="Arial" w:hAnsi="Arial" w:cs="Arial"/>
          <w:i/>
        </w:rPr>
        <w:t xml:space="preserve">Comment calculer le rapport de chances relatives? </w:t>
      </w:r>
    </w:p>
    <w:p w:rsidR="00DB422D" w:rsidRPr="007061C9" w:rsidRDefault="00DB422D" w:rsidP="00106D4D">
      <w:pPr>
        <w:jc w:val="both"/>
        <w:rPr>
          <w:rFonts w:ascii="Arial" w:hAnsi="Arial" w:cs="Arial"/>
          <w:i/>
        </w:rPr>
      </w:pPr>
      <w:r w:rsidRPr="007061C9">
        <w:rPr>
          <w:rFonts w:ascii="Arial" w:hAnsi="Arial" w:cs="Arial"/>
          <w:i/>
        </w:rPr>
        <w:t>Autrement dit on cherche de combien les chances de devenir cadre pour un fils de cadre est supérieure à celle des fils d’employé. (ou inversement, de combien les chances de devenir cadre pour un fils d’employé est inférieure à celle des fils de cadre)</w:t>
      </w:r>
    </w:p>
    <w:p w:rsidR="00DB422D" w:rsidRPr="007061C9" w:rsidRDefault="00DB422D" w:rsidP="00106D4D">
      <w:pPr>
        <w:jc w:val="both"/>
        <w:rPr>
          <w:rFonts w:ascii="Arial" w:hAnsi="Arial" w:cs="Arial"/>
        </w:rPr>
      </w:pPr>
    </w:p>
    <w:p w:rsidR="00DB422D" w:rsidRPr="007061C9" w:rsidRDefault="00DB422D" w:rsidP="00106D4D">
      <w:pPr>
        <w:jc w:val="both"/>
        <w:rPr>
          <w:rFonts w:ascii="Arial" w:hAnsi="Arial" w:cs="Arial"/>
        </w:rPr>
      </w:pPr>
      <w:r w:rsidRPr="007061C9">
        <w:rPr>
          <w:rFonts w:ascii="Arial" w:hAnsi="Arial" w:cs="Arial"/>
        </w:rPr>
        <w:t>Proba qu’un fils de C devienne C plutôt qu’E : …………… (…. contre ……)</w:t>
      </w:r>
    </w:p>
    <w:p w:rsidR="00DB422D" w:rsidRPr="007061C9" w:rsidRDefault="00DB422D" w:rsidP="00106D4D">
      <w:pPr>
        <w:jc w:val="both"/>
        <w:rPr>
          <w:rFonts w:ascii="Arial" w:hAnsi="Arial" w:cs="Arial"/>
          <w:sz w:val="16"/>
        </w:rPr>
      </w:pPr>
    </w:p>
    <w:p w:rsidR="00DB422D" w:rsidRDefault="00DB422D" w:rsidP="00106D4D">
      <w:pPr>
        <w:jc w:val="both"/>
        <w:rPr>
          <w:rFonts w:ascii="Arial" w:hAnsi="Arial" w:cs="Arial"/>
          <w:lang w:val="en-US"/>
        </w:rPr>
      </w:pPr>
      <w:r w:rsidRPr="007061C9">
        <w:rPr>
          <w:rFonts w:ascii="Arial" w:hAnsi="Arial" w:cs="Arial"/>
        </w:rPr>
        <w:t xml:space="preserve">Proba qu’un fils d’E devienne C plutôt qu’E : …………… </w:t>
      </w:r>
      <w:r w:rsidRPr="00106D4D">
        <w:rPr>
          <w:rFonts w:ascii="Arial" w:hAnsi="Arial" w:cs="Arial"/>
          <w:lang w:val="en-US"/>
        </w:rPr>
        <w:t>(</w:t>
      </w:r>
      <w:r>
        <w:rPr>
          <w:rFonts w:ascii="Arial" w:hAnsi="Arial" w:cs="Arial"/>
          <w:lang w:val="en-US"/>
        </w:rPr>
        <w:t>….</w:t>
      </w:r>
      <w:r w:rsidRPr="00106D4D">
        <w:rPr>
          <w:rFonts w:ascii="Arial" w:hAnsi="Arial" w:cs="Arial"/>
          <w:lang w:val="en-US"/>
        </w:rPr>
        <w:t xml:space="preserve"> contre </w:t>
      </w:r>
      <w:r>
        <w:rPr>
          <w:rFonts w:ascii="Arial" w:hAnsi="Arial" w:cs="Arial"/>
          <w:lang w:val="en-US"/>
        </w:rPr>
        <w:t>……</w:t>
      </w:r>
      <w:r w:rsidRPr="00106D4D">
        <w:rPr>
          <w:rFonts w:ascii="Arial" w:hAnsi="Arial" w:cs="Arial"/>
          <w:lang w:val="en-US"/>
        </w:rPr>
        <w:t>)</w:t>
      </w:r>
    </w:p>
    <w:p w:rsidR="00DB422D" w:rsidRPr="00D62278" w:rsidRDefault="00DB422D" w:rsidP="00106D4D">
      <w:pPr>
        <w:jc w:val="both"/>
        <w:rPr>
          <w:rFonts w:ascii="Arial" w:hAnsi="Arial" w:cs="Arial"/>
          <w:sz w:val="16"/>
          <w:lang w:val="en-US"/>
        </w:rPr>
      </w:pPr>
    </w:p>
    <w:p w:rsidR="00DB422D" w:rsidRDefault="00DB422D" w:rsidP="00106D4D">
      <w:pPr>
        <w:pStyle w:val="ListParagraph"/>
        <w:numPr>
          <w:ilvl w:val="0"/>
          <w:numId w:val="3"/>
        </w:numPr>
        <w:jc w:val="both"/>
        <w:rPr>
          <w:rFonts w:ascii="Arial" w:hAnsi="Arial" w:cs="Arial"/>
          <w:lang w:val="en-US"/>
        </w:rPr>
      </w:pPr>
      <w:r>
        <w:rPr>
          <w:rFonts w:ascii="Arial" w:hAnsi="Arial" w:cs="Arial"/>
          <w:lang w:val="en-US"/>
        </w:rPr>
        <w:t>R</w:t>
      </w:r>
      <w:r w:rsidRPr="00106D4D">
        <w:rPr>
          <w:rFonts w:ascii="Arial" w:hAnsi="Arial" w:cs="Arial"/>
          <w:lang w:val="en-US"/>
        </w:rPr>
        <w:t xml:space="preserve">apport de chances relatives = </w:t>
      </w:r>
      <w:r>
        <w:rPr>
          <w:rFonts w:ascii="Arial" w:hAnsi="Arial" w:cs="Arial"/>
          <w:lang w:val="en-US"/>
        </w:rPr>
        <w:t>………………………………</w:t>
      </w:r>
    </w:p>
    <w:p w:rsidR="00DB422D" w:rsidRPr="00D62278" w:rsidRDefault="00DB422D" w:rsidP="00D62278">
      <w:pPr>
        <w:jc w:val="both"/>
        <w:rPr>
          <w:rFonts w:ascii="Arial" w:hAnsi="Arial" w:cs="Arial"/>
          <w:sz w:val="16"/>
          <w:lang w:val="en-US"/>
        </w:rPr>
      </w:pPr>
    </w:p>
    <w:p w:rsidR="00DB422D" w:rsidRPr="007061C9" w:rsidRDefault="00DB422D" w:rsidP="00106D4D">
      <w:pPr>
        <w:pStyle w:val="ListParagraph"/>
        <w:numPr>
          <w:ilvl w:val="0"/>
          <w:numId w:val="3"/>
        </w:numPr>
        <w:jc w:val="both"/>
        <w:rPr>
          <w:rFonts w:ascii="Arial" w:hAnsi="Arial" w:cs="Arial"/>
        </w:rPr>
      </w:pPr>
      <w:r w:rsidRPr="007061C9">
        <w:rPr>
          <w:rFonts w:ascii="Arial" w:hAnsi="Arial" w:cs="Arial"/>
        </w:rPr>
        <w:t xml:space="preserve">On dira donc que les chances de devenir cadre plutôt qu’employé sont ……… fois plus élevées pour les fils de cadres que pour les fils d’employés. </w:t>
      </w:r>
    </w:p>
    <w:p w:rsidR="00DB422D" w:rsidRPr="007061C9" w:rsidRDefault="00DB422D" w:rsidP="00106D4D">
      <w:pPr>
        <w:pStyle w:val="ListParagraph"/>
        <w:numPr>
          <w:ilvl w:val="0"/>
          <w:numId w:val="3"/>
        </w:numPr>
        <w:jc w:val="both"/>
        <w:rPr>
          <w:rFonts w:ascii="Arial" w:hAnsi="Arial" w:cs="Arial"/>
        </w:rPr>
      </w:pPr>
      <w:r w:rsidRPr="007061C9">
        <w:rPr>
          <w:rFonts w:ascii="Arial" w:hAnsi="Arial" w:cs="Arial"/>
        </w:rPr>
        <w:t>Si ce rapport baisse, la fluidité sociale sera alors considérée comme plus ………………..</w:t>
      </w:r>
    </w:p>
    <w:p w:rsidR="00DB422D" w:rsidRDefault="00DB422D" w:rsidP="00106D4D">
      <w:pPr>
        <w:jc w:val="both"/>
        <w:rPr>
          <w:rFonts w:ascii="Arial" w:hAnsi="Arial" w:cs="Arial"/>
        </w:rPr>
      </w:pPr>
    </w:p>
    <w:p w:rsidR="00DB422D" w:rsidRPr="00D62278" w:rsidRDefault="00DB422D" w:rsidP="00106D4D">
      <w:pPr>
        <w:jc w:val="both"/>
        <w:rPr>
          <w:rFonts w:ascii="Arial" w:hAnsi="Arial" w:cs="Arial"/>
          <w:sz w:val="18"/>
        </w:rPr>
      </w:pPr>
    </w:p>
    <w:p w:rsidR="00DB422D" w:rsidRPr="00106D4D" w:rsidRDefault="00DB422D" w:rsidP="00106D4D">
      <w:pPr>
        <w:pStyle w:val="ListParagraph"/>
        <w:numPr>
          <w:ilvl w:val="0"/>
          <w:numId w:val="8"/>
        </w:numPr>
        <w:jc w:val="both"/>
        <w:rPr>
          <w:rFonts w:ascii="Arial" w:hAnsi="Arial" w:cs="Arial"/>
          <w:b/>
          <w:u w:val="thick"/>
        </w:rPr>
      </w:pPr>
      <w:r w:rsidRPr="00106D4D">
        <w:rPr>
          <w:rFonts w:ascii="Arial" w:hAnsi="Arial" w:cs="Arial"/>
          <w:b/>
          <w:u w:val="thick"/>
        </w:rPr>
        <w:t>Exemple 2 : Obtention du bac</w:t>
      </w:r>
    </w:p>
    <w:p w:rsidR="00DB422D" w:rsidRPr="00D62278" w:rsidRDefault="00DB422D" w:rsidP="00106D4D">
      <w:pPr>
        <w:jc w:val="both"/>
        <w:rPr>
          <w:rFonts w:ascii="Arial" w:hAnsi="Arial" w:cs="Arial"/>
          <w:b/>
          <w:sz w:val="16"/>
          <w:u w:val="thi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1"/>
        <w:gridCol w:w="1691"/>
        <w:gridCol w:w="1597"/>
      </w:tblGrid>
      <w:tr w:rsidR="00DB422D" w:rsidRPr="002D33BF" w:rsidTr="002D33BF">
        <w:trPr>
          <w:jc w:val="center"/>
        </w:trPr>
        <w:tc>
          <w:tcPr>
            <w:tcW w:w="2331" w:type="dxa"/>
            <w:tcBorders>
              <w:top w:val="nil"/>
              <w:left w:val="nil"/>
            </w:tcBorders>
          </w:tcPr>
          <w:p w:rsidR="00DB422D" w:rsidRPr="002D33BF" w:rsidRDefault="00DB422D" w:rsidP="002D33BF">
            <w:pPr>
              <w:jc w:val="both"/>
              <w:rPr>
                <w:rFonts w:ascii="Arial" w:hAnsi="Arial" w:cs="Arial"/>
              </w:rPr>
            </w:pPr>
          </w:p>
        </w:tc>
        <w:tc>
          <w:tcPr>
            <w:tcW w:w="1691" w:type="dxa"/>
          </w:tcPr>
          <w:p w:rsidR="00DB422D" w:rsidRPr="002D33BF" w:rsidRDefault="00DB422D" w:rsidP="002D33BF">
            <w:pPr>
              <w:jc w:val="both"/>
              <w:rPr>
                <w:rFonts w:ascii="Arial" w:hAnsi="Arial" w:cs="Arial"/>
                <w:b/>
              </w:rPr>
            </w:pPr>
            <w:r w:rsidRPr="002D33BF">
              <w:rPr>
                <w:rFonts w:ascii="Arial" w:hAnsi="Arial" w:cs="Arial"/>
                <w:b/>
              </w:rPr>
              <w:t>Il y a 50 ans</w:t>
            </w:r>
          </w:p>
        </w:tc>
        <w:tc>
          <w:tcPr>
            <w:tcW w:w="1597" w:type="dxa"/>
          </w:tcPr>
          <w:p w:rsidR="00DB422D" w:rsidRPr="002D33BF" w:rsidRDefault="00DB422D" w:rsidP="002D33BF">
            <w:pPr>
              <w:jc w:val="both"/>
              <w:rPr>
                <w:rFonts w:ascii="Arial" w:hAnsi="Arial" w:cs="Arial"/>
                <w:b/>
              </w:rPr>
            </w:pPr>
            <w:r w:rsidRPr="002D33BF">
              <w:rPr>
                <w:rFonts w:ascii="Arial" w:hAnsi="Arial" w:cs="Arial"/>
                <w:b/>
              </w:rPr>
              <w:t>Aujourd’hui</w:t>
            </w:r>
          </w:p>
        </w:tc>
      </w:tr>
      <w:tr w:rsidR="00DB422D" w:rsidRPr="002D33BF" w:rsidTr="002D33BF">
        <w:trPr>
          <w:jc w:val="center"/>
        </w:trPr>
        <w:tc>
          <w:tcPr>
            <w:tcW w:w="2331" w:type="dxa"/>
          </w:tcPr>
          <w:p w:rsidR="00DB422D" w:rsidRPr="002D33BF" w:rsidRDefault="00DB422D" w:rsidP="002D33BF">
            <w:pPr>
              <w:jc w:val="both"/>
              <w:rPr>
                <w:rFonts w:ascii="Arial" w:hAnsi="Arial" w:cs="Arial"/>
                <w:b/>
              </w:rPr>
            </w:pPr>
            <w:r w:rsidRPr="002D33BF">
              <w:rPr>
                <w:rFonts w:ascii="Arial" w:hAnsi="Arial" w:cs="Arial"/>
                <w:b/>
              </w:rPr>
              <w:t>Enfants de cadres</w:t>
            </w:r>
          </w:p>
        </w:tc>
        <w:tc>
          <w:tcPr>
            <w:tcW w:w="1691" w:type="dxa"/>
          </w:tcPr>
          <w:p w:rsidR="00DB422D" w:rsidRPr="002D33BF" w:rsidRDefault="00DB422D" w:rsidP="002D33BF">
            <w:pPr>
              <w:jc w:val="center"/>
              <w:rPr>
                <w:rFonts w:ascii="Arial" w:hAnsi="Arial" w:cs="Arial"/>
              </w:rPr>
            </w:pPr>
            <w:r w:rsidRPr="002D33BF">
              <w:rPr>
                <w:rFonts w:ascii="Arial" w:hAnsi="Arial" w:cs="Arial"/>
              </w:rPr>
              <w:t>45%</w:t>
            </w:r>
          </w:p>
        </w:tc>
        <w:tc>
          <w:tcPr>
            <w:tcW w:w="1597" w:type="dxa"/>
          </w:tcPr>
          <w:p w:rsidR="00DB422D" w:rsidRPr="002D33BF" w:rsidRDefault="00DB422D" w:rsidP="002D33BF">
            <w:pPr>
              <w:jc w:val="center"/>
              <w:rPr>
                <w:rFonts w:ascii="Arial" w:hAnsi="Arial" w:cs="Arial"/>
              </w:rPr>
            </w:pPr>
            <w:r w:rsidRPr="002D33BF">
              <w:rPr>
                <w:rFonts w:ascii="Arial" w:hAnsi="Arial" w:cs="Arial"/>
              </w:rPr>
              <w:t>90%</w:t>
            </w:r>
          </w:p>
        </w:tc>
      </w:tr>
      <w:tr w:rsidR="00DB422D" w:rsidRPr="002D33BF" w:rsidTr="002D33BF">
        <w:trPr>
          <w:jc w:val="center"/>
        </w:trPr>
        <w:tc>
          <w:tcPr>
            <w:tcW w:w="2331" w:type="dxa"/>
          </w:tcPr>
          <w:p w:rsidR="00DB422D" w:rsidRPr="002D33BF" w:rsidRDefault="00DB422D" w:rsidP="002D33BF">
            <w:pPr>
              <w:jc w:val="both"/>
              <w:rPr>
                <w:rFonts w:ascii="Arial" w:hAnsi="Arial" w:cs="Arial"/>
                <w:b/>
              </w:rPr>
            </w:pPr>
            <w:r w:rsidRPr="002D33BF">
              <w:rPr>
                <w:rFonts w:ascii="Arial" w:hAnsi="Arial" w:cs="Arial"/>
                <w:b/>
              </w:rPr>
              <w:t>Enfants d’ouvriers</w:t>
            </w:r>
          </w:p>
        </w:tc>
        <w:tc>
          <w:tcPr>
            <w:tcW w:w="1691" w:type="dxa"/>
          </w:tcPr>
          <w:p w:rsidR="00DB422D" w:rsidRPr="002D33BF" w:rsidRDefault="00DB422D" w:rsidP="002D33BF">
            <w:pPr>
              <w:jc w:val="center"/>
              <w:rPr>
                <w:rFonts w:ascii="Arial" w:hAnsi="Arial" w:cs="Arial"/>
              </w:rPr>
            </w:pPr>
            <w:r w:rsidRPr="002D33BF">
              <w:rPr>
                <w:rFonts w:ascii="Arial" w:hAnsi="Arial" w:cs="Arial"/>
              </w:rPr>
              <w:t>5%</w:t>
            </w:r>
          </w:p>
        </w:tc>
        <w:tc>
          <w:tcPr>
            <w:tcW w:w="1597" w:type="dxa"/>
          </w:tcPr>
          <w:p w:rsidR="00DB422D" w:rsidRPr="002D33BF" w:rsidRDefault="00DB422D" w:rsidP="002D33BF">
            <w:pPr>
              <w:jc w:val="center"/>
              <w:rPr>
                <w:rFonts w:ascii="Arial" w:hAnsi="Arial" w:cs="Arial"/>
              </w:rPr>
            </w:pPr>
            <w:r w:rsidRPr="002D33BF">
              <w:rPr>
                <w:rFonts w:ascii="Arial" w:hAnsi="Arial" w:cs="Arial"/>
              </w:rPr>
              <w:t>45%</w:t>
            </w:r>
          </w:p>
        </w:tc>
      </w:tr>
    </w:tbl>
    <w:p w:rsidR="00DB422D" w:rsidRPr="00D62278" w:rsidRDefault="00DB422D" w:rsidP="00106D4D">
      <w:pPr>
        <w:ind w:left="360"/>
        <w:jc w:val="both"/>
        <w:rPr>
          <w:rFonts w:ascii="Arial" w:hAnsi="Arial" w:cs="Arial"/>
          <w:sz w:val="18"/>
          <w:lang w:val="en-GB"/>
        </w:rPr>
      </w:pPr>
    </w:p>
    <w:p w:rsidR="00DB422D" w:rsidRPr="007061C9" w:rsidRDefault="00DB422D" w:rsidP="00D62278">
      <w:pPr>
        <w:jc w:val="both"/>
        <w:rPr>
          <w:rFonts w:ascii="Arial" w:hAnsi="Arial" w:cs="Arial"/>
        </w:rPr>
      </w:pPr>
      <w:r w:rsidRPr="007061C9">
        <w:rPr>
          <w:rFonts w:ascii="Arial" w:hAnsi="Arial" w:cs="Arial"/>
          <w:b/>
          <w:bCs/>
        </w:rPr>
        <w:t xml:space="preserve">Les inégalités d’accès au bac ont-elles augmenté ou diminué ? </w:t>
      </w:r>
    </w:p>
    <w:p w:rsidR="00DB422D" w:rsidRPr="007061C9" w:rsidRDefault="00DB422D" w:rsidP="00106D4D">
      <w:pPr>
        <w:jc w:val="both"/>
        <w:rPr>
          <w:rFonts w:ascii="Arial" w:hAnsi="Arial" w:cs="Arial"/>
          <w:sz w:val="12"/>
        </w:rPr>
      </w:pPr>
    </w:p>
    <w:p w:rsidR="00DB422D" w:rsidRPr="007061C9" w:rsidRDefault="00DB422D" w:rsidP="00106D4D">
      <w:pPr>
        <w:jc w:val="both"/>
        <w:rPr>
          <w:rFonts w:ascii="Arial" w:hAnsi="Arial" w:cs="Arial"/>
        </w:rPr>
      </w:pPr>
      <w:r w:rsidRPr="007061C9">
        <w:rPr>
          <w:rFonts w:ascii="Arial" w:hAnsi="Arial" w:cs="Arial"/>
        </w:rPr>
        <w:t>Plusieurs manières de répondre à la question :</w:t>
      </w:r>
    </w:p>
    <w:p w:rsidR="00DB422D" w:rsidRPr="007061C9" w:rsidRDefault="00DB422D" w:rsidP="00106D4D">
      <w:pPr>
        <w:jc w:val="both"/>
        <w:rPr>
          <w:rFonts w:ascii="Arial" w:hAnsi="Arial" w:cs="Arial"/>
        </w:rPr>
      </w:pPr>
    </w:p>
    <w:p w:rsidR="00DB422D" w:rsidRPr="007061C9" w:rsidRDefault="00DB422D" w:rsidP="00106D4D">
      <w:pPr>
        <w:pStyle w:val="ListParagraph"/>
        <w:numPr>
          <w:ilvl w:val="0"/>
          <w:numId w:val="4"/>
        </w:numPr>
        <w:jc w:val="both"/>
        <w:rPr>
          <w:rFonts w:ascii="Arial" w:hAnsi="Arial" w:cs="Arial"/>
          <w:b/>
          <w:i/>
        </w:rPr>
      </w:pPr>
      <w:r w:rsidRPr="007061C9">
        <w:rPr>
          <w:rFonts w:ascii="Arial" w:hAnsi="Arial" w:cs="Arial"/>
          <w:b/>
          <w:i/>
        </w:rPr>
        <w:t xml:space="preserve">Si on mesure les </w:t>
      </w:r>
      <w:r w:rsidRPr="007061C9">
        <w:rPr>
          <w:rFonts w:ascii="Arial" w:hAnsi="Arial" w:cs="Arial"/>
          <w:b/>
          <w:i/>
          <w:u w:val="thick"/>
        </w:rPr>
        <w:t>différences</w:t>
      </w:r>
      <w:r w:rsidRPr="007061C9">
        <w:rPr>
          <w:rFonts w:ascii="Arial" w:hAnsi="Arial" w:cs="Arial"/>
          <w:b/>
          <w:i/>
        </w:rPr>
        <w:t xml:space="preserve"> entre ces proportions : </w:t>
      </w:r>
    </w:p>
    <w:p w:rsidR="00DB422D" w:rsidRPr="00D62278" w:rsidRDefault="00DB422D" w:rsidP="00D2036A">
      <w:pPr>
        <w:pStyle w:val="ListParagraph"/>
        <w:numPr>
          <w:ilvl w:val="0"/>
          <w:numId w:val="3"/>
        </w:numPr>
        <w:jc w:val="both"/>
        <w:rPr>
          <w:rFonts w:ascii="Arial" w:hAnsi="Arial" w:cs="Arial"/>
          <w:lang w:val="en-US"/>
        </w:rPr>
      </w:pPr>
      <w:r w:rsidRPr="00D62278">
        <w:rPr>
          <w:rFonts w:ascii="Arial" w:hAnsi="Arial" w:cs="Arial"/>
          <w:lang w:val="en-US"/>
        </w:rPr>
        <w:t xml:space="preserve">Les inégalités semblent avoir …………………. </w:t>
      </w:r>
    </w:p>
    <w:p w:rsidR="00DB422D" w:rsidRPr="007061C9" w:rsidRDefault="00DB422D" w:rsidP="00D2036A">
      <w:pPr>
        <w:pStyle w:val="ListParagraph"/>
        <w:numPr>
          <w:ilvl w:val="0"/>
          <w:numId w:val="4"/>
        </w:numPr>
        <w:jc w:val="both"/>
        <w:rPr>
          <w:rFonts w:ascii="Arial" w:hAnsi="Arial" w:cs="Arial"/>
        </w:rPr>
      </w:pPr>
      <w:r>
        <w:rPr>
          <w:rFonts w:ascii="Arial" w:hAnsi="Arial" w:cs="Arial"/>
          <w:b/>
          <w:i/>
        </w:rPr>
        <w:t>Mais si</w:t>
      </w:r>
      <w:r w:rsidRPr="007061C9">
        <w:rPr>
          <w:rFonts w:ascii="Arial" w:hAnsi="Arial" w:cs="Arial"/>
          <w:b/>
          <w:i/>
        </w:rPr>
        <w:t xml:space="preserve"> on mesure les inégalités par un « </w:t>
      </w:r>
      <w:r w:rsidRPr="007061C9">
        <w:rPr>
          <w:rFonts w:ascii="Arial" w:hAnsi="Arial" w:cs="Arial"/>
          <w:b/>
          <w:i/>
          <w:u w:val="thick"/>
        </w:rPr>
        <w:t>rapport </w:t>
      </w:r>
      <w:r w:rsidRPr="007061C9">
        <w:rPr>
          <w:rFonts w:ascii="Arial" w:hAnsi="Arial" w:cs="Arial"/>
          <w:b/>
          <w:i/>
        </w:rPr>
        <w:t>»</w:t>
      </w:r>
    </w:p>
    <w:p w:rsidR="00DB422D" w:rsidRPr="007061C9" w:rsidRDefault="00DB422D" w:rsidP="00D2036A">
      <w:pPr>
        <w:jc w:val="both"/>
        <w:rPr>
          <w:rFonts w:ascii="Arial" w:hAnsi="Arial" w:cs="Arial"/>
        </w:rPr>
      </w:pPr>
      <w:r w:rsidRPr="007061C9">
        <w:rPr>
          <w:rFonts w:ascii="Arial" w:hAnsi="Arial" w:cs="Arial"/>
        </w:rPr>
        <w:t>En 1960, la proportion des enfants de cadres qui devenaient bacheliers était ……… fois plus grande (……divisé par ……..) que celle des enfants d’ouvriers.</w:t>
      </w:r>
    </w:p>
    <w:p w:rsidR="00DB422D" w:rsidRPr="007061C9" w:rsidRDefault="00DB422D" w:rsidP="00D2036A">
      <w:pPr>
        <w:jc w:val="both"/>
        <w:rPr>
          <w:rFonts w:ascii="Arial" w:hAnsi="Arial" w:cs="Arial"/>
        </w:rPr>
      </w:pPr>
      <w:r w:rsidRPr="007061C9">
        <w:rPr>
          <w:rFonts w:ascii="Arial" w:hAnsi="Arial" w:cs="Arial"/>
        </w:rPr>
        <w:t>Elle est désormais “seulement” ……. fois plus grande (…… divisé par ……)</w:t>
      </w:r>
    </w:p>
    <w:p w:rsidR="00DB422D" w:rsidRPr="007061C9" w:rsidRDefault="00DB422D" w:rsidP="00D2036A">
      <w:pPr>
        <w:pStyle w:val="ListParagraph"/>
        <w:numPr>
          <w:ilvl w:val="0"/>
          <w:numId w:val="3"/>
        </w:numPr>
        <w:jc w:val="both"/>
        <w:rPr>
          <w:rFonts w:ascii="Arial" w:hAnsi="Arial" w:cs="Arial"/>
        </w:rPr>
      </w:pPr>
      <w:r w:rsidRPr="007061C9">
        <w:rPr>
          <w:rFonts w:ascii="Arial" w:hAnsi="Arial" w:cs="Arial"/>
        </w:rPr>
        <w:t>Les inégalités semblent au contraire avoir ………………</w:t>
      </w:r>
    </w:p>
    <w:p w:rsidR="00DB422D" w:rsidRPr="007061C9" w:rsidRDefault="00DB422D" w:rsidP="00D2036A">
      <w:pPr>
        <w:jc w:val="both"/>
        <w:rPr>
          <w:rFonts w:ascii="Arial" w:hAnsi="Arial" w:cs="Arial"/>
        </w:rPr>
      </w:pPr>
    </w:p>
    <w:p w:rsidR="00DB422D" w:rsidRPr="007061C9" w:rsidRDefault="00DB422D" w:rsidP="00D2036A">
      <w:pPr>
        <w:pStyle w:val="ListParagraph"/>
        <w:numPr>
          <w:ilvl w:val="0"/>
          <w:numId w:val="4"/>
        </w:numPr>
        <w:jc w:val="both"/>
        <w:rPr>
          <w:rFonts w:ascii="Arial" w:hAnsi="Arial" w:cs="Arial"/>
        </w:rPr>
      </w:pPr>
      <w:r w:rsidRPr="007061C9">
        <w:rPr>
          <w:rFonts w:ascii="Arial" w:hAnsi="Arial" w:cs="Arial"/>
          <w:b/>
        </w:rPr>
        <w:t xml:space="preserve">Pour mesurer les inégalités on peut aussi calculer des </w:t>
      </w:r>
      <w:r w:rsidRPr="007061C9">
        <w:rPr>
          <w:rFonts w:ascii="Arial" w:hAnsi="Arial" w:cs="Arial"/>
          <w:b/>
          <w:iCs/>
          <w:u w:val="thick"/>
        </w:rPr>
        <w:t>odds ratio</w:t>
      </w:r>
      <w:r w:rsidRPr="007061C9">
        <w:rPr>
          <w:rFonts w:ascii="Arial" w:hAnsi="Arial" w:cs="Arial"/>
          <w:i/>
          <w:iCs/>
        </w:rPr>
        <w:t>,</w:t>
      </w:r>
      <w:r w:rsidRPr="007061C9">
        <w:rPr>
          <w:rFonts w:ascii="Arial" w:hAnsi="Arial" w:cs="Arial"/>
        </w:rPr>
        <w:t xml:space="preserve"> </w:t>
      </w:r>
    </w:p>
    <w:p w:rsidR="00DB422D" w:rsidRPr="007061C9" w:rsidRDefault="00DB422D" w:rsidP="00D2036A">
      <w:pPr>
        <w:jc w:val="both"/>
        <w:rPr>
          <w:rFonts w:ascii="Arial" w:hAnsi="Arial" w:cs="Arial"/>
        </w:rPr>
      </w:pPr>
      <w:r w:rsidRPr="007061C9">
        <w:rPr>
          <w:rFonts w:ascii="Arial" w:hAnsi="Arial" w:cs="Arial"/>
        </w:rPr>
        <w:t>ou « rapports des chances relatives », autrement dit les rapports entre le taux de réussite et le taux d’échec.</w:t>
      </w:r>
    </w:p>
    <w:p w:rsidR="00DB422D" w:rsidRPr="007061C9" w:rsidRDefault="00DB422D" w:rsidP="00D2036A">
      <w:pPr>
        <w:jc w:val="both"/>
        <w:rPr>
          <w:rFonts w:ascii="Arial" w:hAnsi="Arial" w:cs="Arial"/>
        </w:rPr>
      </w:pPr>
    </w:p>
    <w:p w:rsidR="00DB422D" w:rsidRPr="007061C9" w:rsidRDefault="00DB422D" w:rsidP="00D2036A">
      <w:pPr>
        <w:jc w:val="both"/>
        <w:rPr>
          <w:rFonts w:ascii="Arial" w:hAnsi="Arial" w:cs="Arial"/>
          <w:b/>
          <w:i/>
          <w:u w:val="thick"/>
        </w:rPr>
      </w:pPr>
      <w:r w:rsidRPr="007061C9">
        <w:rPr>
          <w:rFonts w:ascii="Arial" w:hAnsi="Arial" w:cs="Arial"/>
          <w:b/>
          <w:i/>
          <w:u w:val="thick"/>
        </w:rPr>
        <w:t>Pour les enfants de cadres :</w:t>
      </w:r>
    </w:p>
    <w:p w:rsidR="00DB422D" w:rsidRPr="007061C9" w:rsidRDefault="00DB422D" w:rsidP="00D2036A">
      <w:pPr>
        <w:jc w:val="both"/>
        <w:rPr>
          <w:rFonts w:ascii="Arial" w:hAnsi="Arial" w:cs="Arial"/>
          <w:b/>
        </w:rPr>
      </w:pPr>
    </w:p>
    <w:p w:rsidR="00DB422D" w:rsidRPr="007061C9" w:rsidRDefault="00DB422D" w:rsidP="00D2036A">
      <w:pPr>
        <w:jc w:val="both"/>
        <w:rPr>
          <w:rFonts w:ascii="Arial" w:hAnsi="Arial" w:cs="Arial"/>
        </w:rPr>
      </w:pPr>
      <w:r w:rsidRPr="007061C9">
        <w:rPr>
          <w:rFonts w:ascii="Arial" w:hAnsi="Arial" w:cs="Arial"/>
          <w:b/>
        </w:rPr>
        <w:t>En 1960</w:t>
      </w:r>
      <w:r w:rsidRPr="007061C9">
        <w:rPr>
          <w:rFonts w:ascii="Arial" w:hAnsi="Arial" w:cs="Arial"/>
        </w:rPr>
        <w:t xml:space="preserve"> : …….% des enfants de cadres obtennaient le bac. Dans ce cas, …….% d’entre eux ne l’obtennaient pas.</w:t>
      </w:r>
    </w:p>
    <w:p w:rsidR="00DB422D" w:rsidRPr="007061C9" w:rsidRDefault="00DB422D" w:rsidP="00D2036A">
      <w:pPr>
        <w:pStyle w:val="ListParagraph"/>
        <w:numPr>
          <w:ilvl w:val="0"/>
          <w:numId w:val="3"/>
        </w:numPr>
        <w:jc w:val="both"/>
        <w:rPr>
          <w:rFonts w:ascii="Arial" w:hAnsi="Arial" w:cs="Arial"/>
        </w:rPr>
      </w:pPr>
      <w:r w:rsidRPr="007061C9">
        <w:rPr>
          <w:rFonts w:ascii="Arial" w:hAnsi="Arial" w:cs="Arial"/>
        </w:rPr>
        <w:t>Il y avait ………………………………… d’enfants de cadres qui obtiennaient le bac que d’enfants de cadres qui ne l’obtiennaient pas.</w:t>
      </w:r>
    </w:p>
    <w:p w:rsidR="00DB422D" w:rsidRPr="007061C9" w:rsidRDefault="00DB422D" w:rsidP="00D2036A">
      <w:pPr>
        <w:jc w:val="both"/>
        <w:rPr>
          <w:rFonts w:ascii="Arial" w:hAnsi="Arial" w:cs="Arial"/>
          <w:b/>
        </w:rPr>
      </w:pPr>
    </w:p>
    <w:p w:rsidR="00DB422D" w:rsidRPr="007061C9" w:rsidRDefault="00DB422D" w:rsidP="00D2036A">
      <w:pPr>
        <w:jc w:val="both"/>
        <w:rPr>
          <w:rFonts w:ascii="Arial" w:hAnsi="Arial" w:cs="Arial"/>
        </w:rPr>
      </w:pPr>
      <w:r w:rsidRPr="007061C9">
        <w:rPr>
          <w:rFonts w:ascii="Arial" w:hAnsi="Arial" w:cs="Arial"/>
          <w:b/>
        </w:rPr>
        <w:t>Aujourd’hui :</w:t>
      </w:r>
      <w:r w:rsidRPr="007061C9">
        <w:rPr>
          <w:rFonts w:ascii="Arial" w:hAnsi="Arial" w:cs="Arial"/>
        </w:rPr>
        <w:t xml:space="preserve"> …….% des enfants de cadres obtiennent le bac, donc …….% des enfants de cadres ne l’obtiennent pas.</w:t>
      </w:r>
    </w:p>
    <w:p w:rsidR="00DB422D" w:rsidRPr="007061C9" w:rsidRDefault="00DB422D" w:rsidP="00D2036A">
      <w:pPr>
        <w:pStyle w:val="ListParagraph"/>
        <w:numPr>
          <w:ilvl w:val="0"/>
          <w:numId w:val="3"/>
        </w:numPr>
        <w:jc w:val="both"/>
        <w:rPr>
          <w:rFonts w:ascii="Arial" w:hAnsi="Arial" w:cs="Arial"/>
        </w:rPr>
      </w:pPr>
      <w:r w:rsidRPr="007061C9">
        <w:rPr>
          <w:rFonts w:ascii="Arial" w:hAnsi="Arial" w:cs="Arial"/>
        </w:rPr>
        <w:t xml:space="preserve">Il y a ……. fois (…….. / ………) plus d’enfants de cadres qui obtiennent le bac que d’enfants de cadres qui ne l’obtiennent pas. </w:t>
      </w:r>
    </w:p>
    <w:p w:rsidR="00DB422D" w:rsidRPr="007061C9" w:rsidRDefault="00DB422D" w:rsidP="00D2036A">
      <w:pPr>
        <w:pStyle w:val="ListParagraph"/>
        <w:numPr>
          <w:ilvl w:val="0"/>
          <w:numId w:val="3"/>
        </w:numPr>
        <w:jc w:val="both"/>
        <w:rPr>
          <w:rFonts w:ascii="Arial" w:hAnsi="Arial" w:cs="Arial"/>
        </w:rPr>
      </w:pPr>
      <w:r w:rsidRPr="007061C9">
        <w:rPr>
          <w:rFonts w:ascii="Arial" w:hAnsi="Arial" w:cs="Arial"/>
        </w:rPr>
        <w:t>Ce chiffre (……), c’est « </w:t>
      </w:r>
      <w:r w:rsidRPr="007061C9">
        <w:rPr>
          <w:rFonts w:ascii="Arial" w:hAnsi="Arial" w:cs="Arial"/>
          <w:b/>
        </w:rPr>
        <w:t>l’odd</w:t>
      </w:r>
      <w:r w:rsidRPr="007061C9">
        <w:rPr>
          <w:rFonts w:ascii="Arial" w:hAnsi="Arial" w:cs="Arial"/>
        </w:rPr>
        <w:t> », ou « </w:t>
      </w:r>
      <w:r w:rsidRPr="007061C9">
        <w:rPr>
          <w:rFonts w:ascii="Arial" w:hAnsi="Arial" w:cs="Arial"/>
          <w:b/>
        </w:rPr>
        <w:t>chance relative </w:t>
      </w:r>
      <w:r w:rsidRPr="007061C9">
        <w:rPr>
          <w:rFonts w:ascii="Arial" w:hAnsi="Arial" w:cs="Arial"/>
        </w:rPr>
        <w:t>», ici d’obtenir le bac plutôt que de ne pas l’obtenir, qui s’obtient donc très simplement en divisant la probabilité d’être ou de faire, ou de réussir quelque chose, par la probabilité contraire de ne pas l’être, ne pas le faire ou y échouer.</w:t>
      </w:r>
    </w:p>
    <w:p w:rsidR="00DB422D" w:rsidRPr="00D62278" w:rsidRDefault="00DB422D" w:rsidP="00D2036A">
      <w:pPr>
        <w:pStyle w:val="ListParagraph"/>
        <w:numPr>
          <w:ilvl w:val="0"/>
          <w:numId w:val="3"/>
        </w:numPr>
        <w:jc w:val="both"/>
        <w:rPr>
          <w:rFonts w:ascii="Arial" w:hAnsi="Arial" w:cs="Arial"/>
          <w:lang w:val="en-US"/>
        </w:rPr>
      </w:pPr>
      <w:r w:rsidRPr="007061C9">
        <w:rPr>
          <w:rFonts w:ascii="Arial" w:hAnsi="Arial" w:cs="Arial"/>
          <w:b/>
        </w:rPr>
        <w:t xml:space="preserve">Pour les enfants de cadres, la chance relative d’obtenir le bac est de …….. </w:t>
      </w:r>
      <w:r w:rsidRPr="00D62278">
        <w:rPr>
          <w:rFonts w:ascii="Arial" w:hAnsi="Arial" w:cs="Arial"/>
          <w:b/>
          <w:lang w:val="en-US"/>
        </w:rPr>
        <w:t xml:space="preserve">(contre 1). </w:t>
      </w:r>
    </w:p>
    <w:p w:rsidR="00DB422D" w:rsidRPr="00106D4D" w:rsidRDefault="00DB422D" w:rsidP="00D2036A">
      <w:pPr>
        <w:jc w:val="both"/>
        <w:rPr>
          <w:rFonts w:ascii="Arial" w:hAnsi="Arial" w:cs="Arial"/>
        </w:rPr>
      </w:pPr>
    </w:p>
    <w:p w:rsidR="00DB422D" w:rsidRPr="007061C9" w:rsidRDefault="00DB422D" w:rsidP="00D2036A">
      <w:pPr>
        <w:jc w:val="both"/>
        <w:rPr>
          <w:rFonts w:ascii="Arial" w:hAnsi="Arial" w:cs="Arial"/>
          <w:b/>
          <w:i/>
          <w:u w:val="thick"/>
        </w:rPr>
      </w:pPr>
      <w:r w:rsidRPr="007061C9">
        <w:rPr>
          <w:rFonts w:ascii="Arial" w:hAnsi="Arial" w:cs="Arial"/>
          <w:b/>
          <w:i/>
          <w:u w:val="thick"/>
        </w:rPr>
        <w:t xml:space="preserve">Et pour les enfants d’ouvriers ? </w:t>
      </w:r>
    </w:p>
    <w:p w:rsidR="00DB422D" w:rsidRPr="007061C9" w:rsidRDefault="00DB422D" w:rsidP="00D2036A">
      <w:pPr>
        <w:jc w:val="both"/>
        <w:rPr>
          <w:rFonts w:ascii="Arial" w:hAnsi="Arial" w:cs="Arial"/>
        </w:rPr>
      </w:pPr>
    </w:p>
    <w:p w:rsidR="00DB422D" w:rsidRPr="007061C9" w:rsidRDefault="00DB422D" w:rsidP="00D2036A">
      <w:pPr>
        <w:jc w:val="both"/>
        <w:rPr>
          <w:rFonts w:ascii="Arial" w:hAnsi="Arial" w:cs="Arial"/>
        </w:rPr>
      </w:pPr>
      <w:r w:rsidRPr="007061C9">
        <w:rPr>
          <w:rFonts w:ascii="Arial" w:hAnsi="Arial" w:cs="Arial"/>
          <w:b/>
        </w:rPr>
        <w:t>Aujourd’hui :</w:t>
      </w:r>
      <w:r w:rsidRPr="007061C9">
        <w:rPr>
          <w:rFonts w:ascii="Arial" w:hAnsi="Arial" w:cs="Arial"/>
        </w:rPr>
        <w:t xml:space="preserve"> …….% des enfants d’O obtiennent le bac, et donc …….% d’entre eux ne l’obtiennent pas. Donc leur chance relative d’avoir le bac est de …….. (…….. divisé par …….). </w:t>
      </w:r>
    </w:p>
    <w:p w:rsidR="00DB422D" w:rsidRPr="007061C9" w:rsidRDefault="00DB422D" w:rsidP="00D2036A">
      <w:pPr>
        <w:pStyle w:val="ListParagraph"/>
        <w:numPr>
          <w:ilvl w:val="0"/>
          <w:numId w:val="3"/>
        </w:numPr>
        <w:jc w:val="both"/>
        <w:rPr>
          <w:rFonts w:ascii="Arial" w:hAnsi="Arial" w:cs="Arial"/>
          <w:b/>
          <w:bCs/>
        </w:rPr>
      </w:pPr>
      <w:r w:rsidRPr="007061C9">
        <w:rPr>
          <w:rFonts w:ascii="Arial" w:hAnsi="Arial" w:cs="Arial"/>
          <w:b/>
          <w:bCs/>
        </w:rPr>
        <w:t xml:space="preserve">Les enfants d’ouvriers avaient ……….. fois plus de chances d’obtenir le bac que de ne pas l’obtenir. </w:t>
      </w:r>
    </w:p>
    <w:p w:rsidR="00DB422D" w:rsidRPr="007061C9" w:rsidRDefault="00DB422D" w:rsidP="00D2036A">
      <w:pPr>
        <w:jc w:val="both"/>
        <w:rPr>
          <w:rFonts w:ascii="Arial" w:hAnsi="Arial" w:cs="Arial"/>
        </w:rPr>
      </w:pPr>
      <w:r w:rsidRPr="007061C9">
        <w:rPr>
          <w:rFonts w:ascii="Arial" w:hAnsi="Arial" w:cs="Arial"/>
        </w:rPr>
        <w:t>Ou encore qu’ils avaient ……… fois (…… divisé par ………) plus de chances de ne pas obtenir le bac que de l’obtenir (on peut dire aussi …….% de chances en plus de ne pas obtenir le bac que de l’obtenir).</w:t>
      </w:r>
    </w:p>
    <w:p w:rsidR="00DB422D" w:rsidRPr="007061C9" w:rsidRDefault="00DB422D" w:rsidP="00D2036A">
      <w:pPr>
        <w:jc w:val="both"/>
        <w:rPr>
          <w:rFonts w:ascii="Arial" w:hAnsi="Arial" w:cs="Arial"/>
        </w:rPr>
      </w:pPr>
    </w:p>
    <w:p w:rsidR="00DB422D" w:rsidRPr="007061C9" w:rsidRDefault="00DB422D" w:rsidP="00D2036A">
      <w:pPr>
        <w:pStyle w:val="ListParagraph"/>
        <w:numPr>
          <w:ilvl w:val="0"/>
          <w:numId w:val="9"/>
        </w:numPr>
        <w:jc w:val="both"/>
        <w:rPr>
          <w:rFonts w:ascii="Arial" w:hAnsi="Arial" w:cs="Arial"/>
        </w:rPr>
      </w:pPr>
      <w:r w:rsidRPr="007061C9">
        <w:rPr>
          <w:rFonts w:ascii="Arial" w:hAnsi="Arial" w:cs="Arial"/>
          <w:b/>
        </w:rPr>
        <w:t>“L’odd ratio” </w:t>
      </w:r>
      <w:r w:rsidRPr="007061C9">
        <w:rPr>
          <w:rFonts w:ascii="Arial" w:hAnsi="Arial" w:cs="Arial"/>
        </w:rPr>
        <w:t xml:space="preserve"> est le « rapport » (ratio) entre les chances relatives (odds) des uns et celles des autres, donc ici le rapport entre les chances relatives des enfants de C d’avoir le bac et celles des enfants d’O : </w:t>
      </w:r>
    </w:p>
    <w:p w:rsidR="00DB422D" w:rsidRPr="007061C9" w:rsidRDefault="00DB422D" w:rsidP="00D2036A">
      <w:pPr>
        <w:pStyle w:val="ListParagraph"/>
        <w:ind w:left="360"/>
        <w:jc w:val="both"/>
        <w:rPr>
          <w:rFonts w:ascii="Arial" w:hAnsi="Arial" w:cs="Arial"/>
        </w:rPr>
      </w:pPr>
    </w:p>
    <w:p w:rsidR="00DB422D" w:rsidRPr="00D2036A" w:rsidRDefault="00DB422D" w:rsidP="00D2036A">
      <w:pPr>
        <w:jc w:val="both"/>
        <w:rPr>
          <w:rFonts w:ascii="Arial" w:hAnsi="Arial" w:cs="Arial"/>
          <w:lang w:val="en-GB"/>
        </w:rPr>
      </w:pPr>
      <w:r w:rsidRPr="007061C9">
        <w:rPr>
          <w:rFonts w:ascii="Arial" w:hAnsi="Arial" w:cs="Arial"/>
        </w:rPr>
        <w:t xml:space="preserve">Ici, on obtient un </w:t>
      </w:r>
      <w:r w:rsidRPr="007061C9">
        <w:rPr>
          <w:rFonts w:ascii="Arial" w:hAnsi="Arial" w:cs="Arial"/>
          <w:b/>
        </w:rPr>
        <w:t>odd ratio de ……</w:t>
      </w:r>
      <w:r w:rsidRPr="007061C9">
        <w:rPr>
          <w:rFonts w:ascii="Arial" w:hAnsi="Arial" w:cs="Arial"/>
        </w:rPr>
        <w:t xml:space="preserve"> </w:t>
      </w:r>
      <w:r w:rsidRPr="00106D4D">
        <w:rPr>
          <w:rFonts w:ascii="Arial" w:hAnsi="Arial" w:cs="Arial"/>
          <w:lang w:val="en-US"/>
        </w:rPr>
        <w:t>(</w:t>
      </w:r>
      <w:r>
        <w:rPr>
          <w:rFonts w:ascii="Arial" w:hAnsi="Arial" w:cs="Arial"/>
          <w:b/>
          <w:bCs/>
          <w:lang w:val="en-US"/>
        </w:rPr>
        <w:t>…….</w:t>
      </w:r>
      <w:r w:rsidRPr="00106D4D">
        <w:rPr>
          <w:rFonts w:ascii="Arial" w:hAnsi="Arial" w:cs="Arial"/>
          <w:b/>
          <w:bCs/>
          <w:lang w:val="en-US"/>
        </w:rPr>
        <w:t xml:space="preserve">divisé par </w:t>
      </w:r>
      <w:r>
        <w:rPr>
          <w:rFonts w:ascii="Arial" w:hAnsi="Arial" w:cs="Arial"/>
          <w:b/>
          <w:bCs/>
          <w:lang w:val="en-US"/>
        </w:rPr>
        <w:t>……</w:t>
      </w:r>
      <w:r w:rsidRPr="00106D4D">
        <w:rPr>
          <w:rFonts w:ascii="Arial" w:hAnsi="Arial" w:cs="Arial"/>
          <w:b/>
          <w:bCs/>
          <w:lang w:val="en-US"/>
        </w:rPr>
        <w:t>).</w:t>
      </w:r>
    </w:p>
    <w:p w:rsidR="00DB422D" w:rsidRPr="007061C9" w:rsidRDefault="00DB422D" w:rsidP="00D2036A">
      <w:pPr>
        <w:pStyle w:val="ListParagraph"/>
        <w:numPr>
          <w:ilvl w:val="0"/>
          <w:numId w:val="3"/>
        </w:numPr>
        <w:jc w:val="both"/>
        <w:rPr>
          <w:rFonts w:ascii="Arial" w:hAnsi="Arial" w:cs="Arial"/>
          <w:b/>
          <w:bCs/>
        </w:rPr>
      </w:pPr>
      <w:r w:rsidRPr="007061C9">
        <w:rPr>
          <w:rFonts w:ascii="Arial" w:hAnsi="Arial" w:cs="Arial"/>
        </w:rPr>
        <w:t xml:space="preserve">Autrement dit, </w:t>
      </w:r>
      <w:r w:rsidRPr="007061C9">
        <w:rPr>
          <w:rFonts w:ascii="Arial" w:hAnsi="Arial" w:cs="Arial"/>
          <w:b/>
          <w:bCs/>
        </w:rPr>
        <w:t xml:space="preserve">aujourd'hui les enfants de cadres ont ……… fois plus de chances que les enfants d’ouvriers d’obtenir le bac plutôt que de ne pas l’obtenir. </w:t>
      </w:r>
    </w:p>
    <w:p w:rsidR="00DB422D" w:rsidRPr="007061C9" w:rsidRDefault="00DB422D" w:rsidP="00D2036A">
      <w:pPr>
        <w:pStyle w:val="ListParagraph"/>
        <w:ind w:left="360"/>
        <w:jc w:val="both"/>
        <w:rPr>
          <w:rFonts w:ascii="Arial" w:hAnsi="Arial" w:cs="Arial"/>
          <w:b/>
          <w:bCs/>
        </w:rPr>
      </w:pPr>
    </w:p>
    <w:p w:rsidR="00DB422D" w:rsidRPr="007061C9" w:rsidRDefault="00DB422D" w:rsidP="00D2036A">
      <w:pPr>
        <w:jc w:val="both"/>
        <w:rPr>
          <w:rFonts w:ascii="Arial" w:hAnsi="Arial" w:cs="Arial"/>
        </w:rPr>
      </w:pPr>
      <w:r w:rsidRPr="007061C9">
        <w:rPr>
          <w:rFonts w:ascii="Arial" w:hAnsi="Arial" w:cs="Arial"/>
          <w:b/>
        </w:rPr>
        <w:t>Et il y 50 ans ?</w:t>
      </w:r>
      <w:r w:rsidRPr="007061C9">
        <w:rPr>
          <w:rFonts w:ascii="Arial" w:hAnsi="Arial" w:cs="Arial"/>
        </w:rPr>
        <w:t xml:space="preserve"> </w:t>
      </w:r>
    </w:p>
    <w:p w:rsidR="00DB422D" w:rsidRPr="007061C9" w:rsidRDefault="00DB422D" w:rsidP="00D2036A">
      <w:pPr>
        <w:jc w:val="both"/>
        <w:rPr>
          <w:rFonts w:ascii="Arial" w:hAnsi="Arial" w:cs="Arial"/>
          <w:i/>
        </w:rPr>
      </w:pPr>
      <w:r w:rsidRPr="007061C9">
        <w:rPr>
          <w:rFonts w:ascii="Arial" w:hAnsi="Arial" w:cs="Arial"/>
          <w:i/>
        </w:rPr>
        <w:t>…………………………………………………………………………………………………………………</w:t>
      </w:r>
    </w:p>
    <w:p w:rsidR="00DB422D" w:rsidRPr="007061C9" w:rsidRDefault="00DB422D" w:rsidP="00D2036A">
      <w:pPr>
        <w:jc w:val="both"/>
        <w:rPr>
          <w:rFonts w:ascii="Arial" w:hAnsi="Arial" w:cs="Arial"/>
          <w:i/>
        </w:rPr>
      </w:pPr>
      <w:r w:rsidRPr="007061C9">
        <w:rPr>
          <w:rFonts w:ascii="Arial" w:hAnsi="Arial" w:cs="Arial"/>
          <w:i/>
        </w:rPr>
        <w:t>…………………………………………………………………………………………………………………</w:t>
      </w:r>
    </w:p>
    <w:p w:rsidR="00DB422D" w:rsidRPr="007061C9" w:rsidRDefault="00DB422D" w:rsidP="00D2036A">
      <w:pPr>
        <w:jc w:val="both"/>
        <w:rPr>
          <w:rFonts w:ascii="Arial" w:hAnsi="Arial" w:cs="Arial"/>
          <w:i/>
        </w:rPr>
      </w:pPr>
      <w:r w:rsidRPr="007061C9">
        <w:rPr>
          <w:rFonts w:ascii="Arial" w:hAnsi="Arial" w:cs="Arial"/>
          <w:i/>
        </w:rPr>
        <w:t>…………………………………………………………………………………………………………………</w:t>
      </w:r>
    </w:p>
    <w:p w:rsidR="00DB422D" w:rsidRPr="007061C9" w:rsidRDefault="00DB422D" w:rsidP="00D2036A">
      <w:pPr>
        <w:jc w:val="both"/>
        <w:rPr>
          <w:rFonts w:ascii="Arial" w:hAnsi="Arial" w:cs="Arial"/>
          <w:i/>
        </w:rPr>
      </w:pPr>
      <w:r w:rsidRPr="007061C9">
        <w:rPr>
          <w:rFonts w:ascii="Arial" w:hAnsi="Arial" w:cs="Arial"/>
          <w:i/>
        </w:rPr>
        <w:t>…………………………………………………………………………………………………………………</w:t>
      </w:r>
    </w:p>
    <w:p w:rsidR="00DB422D" w:rsidRPr="007061C9" w:rsidRDefault="00DB422D" w:rsidP="00D2036A">
      <w:pPr>
        <w:jc w:val="both"/>
        <w:rPr>
          <w:rFonts w:ascii="Arial" w:hAnsi="Arial" w:cs="Arial"/>
        </w:rPr>
      </w:pPr>
    </w:p>
    <w:p w:rsidR="00DB422D" w:rsidRPr="007061C9" w:rsidRDefault="00DB422D" w:rsidP="00D2036A">
      <w:pPr>
        <w:jc w:val="both"/>
        <w:rPr>
          <w:rFonts w:ascii="Arial" w:hAnsi="Arial" w:cs="Arial"/>
        </w:rPr>
      </w:pPr>
      <w:r w:rsidRPr="007061C9">
        <w:rPr>
          <w:rFonts w:ascii="Arial" w:hAnsi="Arial" w:cs="Arial"/>
          <w:b/>
          <w:bCs/>
        </w:rPr>
        <w:t>Donc, il y a 50 ans, les enfants de cadres avaient ……….. fois plus de chances que les enfants d’ouvriers d’obtenir le baccalauréat que de ne pas l’obtenir</w:t>
      </w:r>
    </w:p>
    <w:p w:rsidR="00DB422D" w:rsidRDefault="00DB422D" w:rsidP="00106D4D">
      <w:pPr>
        <w:rPr>
          <w:rFonts w:ascii="Arial" w:hAnsi="Arial" w:cs="Arial"/>
        </w:rPr>
      </w:pPr>
    </w:p>
    <w:p w:rsidR="00DB422D" w:rsidRPr="007061C9" w:rsidRDefault="00DB422D" w:rsidP="00D2036A">
      <w:pPr>
        <w:jc w:val="center"/>
        <w:rPr>
          <w:rFonts w:ascii="Arial" w:hAnsi="Arial" w:cs="Arial"/>
          <w:b/>
          <w:sz w:val="28"/>
        </w:rPr>
      </w:pPr>
    </w:p>
    <w:sectPr w:rsidR="00DB422D" w:rsidRPr="007061C9" w:rsidSect="008909A3">
      <w:pgSz w:w="11900" w:h="16840"/>
      <w:pgMar w:top="720" w:right="720" w:bottom="720" w:left="72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6683"/>
    <w:multiLevelType w:val="hybridMultilevel"/>
    <w:tmpl w:val="0A6E6F3E"/>
    <w:lvl w:ilvl="0" w:tplc="6A1AE00C">
      <w:numFmt w:val="bullet"/>
      <w:lvlText w:val=""/>
      <w:lvlJc w:val="left"/>
      <w:pPr>
        <w:ind w:left="360" w:hanging="360"/>
      </w:pPr>
      <w:rPr>
        <w:rFonts w:ascii="Wingdings" w:eastAsia="Times New Roman" w:hAnsi="Wingdings" w:hint="default"/>
        <w:b/>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BD7318B"/>
    <w:multiLevelType w:val="hybridMultilevel"/>
    <w:tmpl w:val="68DAE138"/>
    <w:lvl w:ilvl="0" w:tplc="CA3C01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5203BC"/>
    <w:multiLevelType w:val="hybridMultilevel"/>
    <w:tmpl w:val="E02A3888"/>
    <w:lvl w:ilvl="0" w:tplc="EB62C824">
      <w:start w:val="1"/>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5A36FF"/>
    <w:multiLevelType w:val="hybridMultilevel"/>
    <w:tmpl w:val="11183C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A304D8"/>
    <w:multiLevelType w:val="hybridMultilevel"/>
    <w:tmpl w:val="2548A454"/>
    <w:lvl w:ilvl="0" w:tplc="EB62C824">
      <w:start w:val="1"/>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820F8F"/>
    <w:multiLevelType w:val="hybridMultilevel"/>
    <w:tmpl w:val="097E8280"/>
    <w:lvl w:ilvl="0" w:tplc="052A9856">
      <w:numFmt w:val="bullet"/>
      <w:pStyle w:val="Dfinition"/>
      <w:lvlText w:val=""/>
      <w:lvlJc w:val="left"/>
      <w:pPr>
        <w:ind w:left="360" w:hanging="360"/>
      </w:pPr>
      <w:rPr>
        <w:rFonts w:ascii="Wingdings" w:eastAsia="Times New Roman" w:hAnsi="Wingdings" w:hint="default"/>
        <w:b/>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E704215"/>
    <w:multiLevelType w:val="hybridMultilevel"/>
    <w:tmpl w:val="95E603A8"/>
    <w:lvl w:ilvl="0" w:tplc="EB62C824">
      <w:start w:val="1"/>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7D81601"/>
    <w:multiLevelType w:val="hybridMultilevel"/>
    <w:tmpl w:val="1494DFA8"/>
    <w:lvl w:ilvl="0" w:tplc="CA3C01D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DD67D16"/>
    <w:multiLevelType w:val="hybridMultilevel"/>
    <w:tmpl w:val="465802D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6"/>
  </w:num>
  <w:num w:numId="4">
    <w:abstractNumId w:val="3"/>
  </w:num>
  <w:num w:numId="5">
    <w:abstractNumId w:val="2"/>
  </w:num>
  <w:num w:numId="6">
    <w:abstractNumId w:val="7"/>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9A3"/>
    <w:rsid w:val="00001563"/>
    <w:rsid w:val="00106D4D"/>
    <w:rsid w:val="001728E4"/>
    <w:rsid w:val="001A0F31"/>
    <w:rsid w:val="001E319B"/>
    <w:rsid w:val="002D33BF"/>
    <w:rsid w:val="003F6A96"/>
    <w:rsid w:val="00473FD1"/>
    <w:rsid w:val="00571640"/>
    <w:rsid w:val="00694ED1"/>
    <w:rsid w:val="007061C9"/>
    <w:rsid w:val="0072416F"/>
    <w:rsid w:val="007E2EB8"/>
    <w:rsid w:val="00814433"/>
    <w:rsid w:val="008909A3"/>
    <w:rsid w:val="008D5396"/>
    <w:rsid w:val="009755DD"/>
    <w:rsid w:val="00D2036A"/>
    <w:rsid w:val="00D33D24"/>
    <w:rsid w:val="00D62278"/>
    <w:rsid w:val="00D900BB"/>
    <w:rsid w:val="00DB422D"/>
    <w:rsid w:val="00DB5453"/>
    <w:rsid w:val="00F01EE3"/>
    <w:rsid w:val="00F054B1"/>
    <w:rsid w:val="00F41CB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inition">
    <w:name w:val="Définition"/>
    <w:basedOn w:val="ListParagraph"/>
    <w:autoRedefine/>
    <w:uiPriority w:val="99"/>
    <w:rsid w:val="00D33D24"/>
    <w:pPr>
      <w:numPr>
        <w:numId w:val="1"/>
      </w:numPr>
      <w:pBdr>
        <w:top w:val="single" w:sz="4" w:space="1" w:color="auto"/>
        <w:left w:val="single" w:sz="4" w:space="4" w:color="auto"/>
        <w:bottom w:val="single" w:sz="4" w:space="1" w:color="auto"/>
        <w:right w:val="single" w:sz="4" w:space="4" w:color="auto"/>
      </w:pBd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Calibri" w:hAnsi="Calibri"/>
      <w:sz w:val="18"/>
      <w:szCs w:val="18"/>
    </w:rPr>
  </w:style>
  <w:style w:type="paragraph" w:styleId="ListParagraph">
    <w:name w:val="List Paragraph"/>
    <w:basedOn w:val="Normal"/>
    <w:uiPriority w:val="99"/>
    <w:qFormat/>
    <w:rsid w:val="00D33D24"/>
    <w:pPr>
      <w:ind w:left="720"/>
      <w:contextualSpacing/>
    </w:pPr>
  </w:style>
  <w:style w:type="paragraph" w:styleId="BalloonText">
    <w:name w:val="Balloon Text"/>
    <w:basedOn w:val="Normal"/>
    <w:link w:val="BalloonTextChar"/>
    <w:uiPriority w:val="99"/>
    <w:semiHidden/>
    <w:rsid w:val="008909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909A3"/>
    <w:rPr>
      <w:rFonts w:ascii="Lucida Grande" w:hAnsi="Lucida Grande" w:cs="Lucida Grande"/>
      <w:sz w:val="18"/>
      <w:szCs w:val="18"/>
    </w:rPr>
  </w:style>
  <w:style w:type="paragraph" w:styleId="NormalWeb">
    <w:name w:val="Normal (Web)"/>
    <w:basedOn w:val="Normal"/>
    <w:uiPriority w:val="99"/>
    <w:semiHidden/>
    <w:rsid w:val="008909A3"/>
    <w:pPr>
      <w:spacing w:before="100" w:beforeAutospacing="1" w:after="100" w:afterAutospacing="1"/>
    </w:pPr>
    <w:rPr>
      <w:rFonts w:ascii="Times" w:hAnsi="Times"/>
      <w:sz w:val="20"/>
      <w:szCs w:val="20"/>
      <w:lang w:val="en-GB"/>
    </w:rPr>
  </w:style>
  <w:style w:type="table" w:styleId="TableGrid">
    <w:name w:val="Table Grid"/>
    <w:basedOn w:val="TableNormal"/>
    <w:uiPriority w:val="99"/>
    <w:rsid w:val="008D53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8627974">
      <w:marLeft w:val="0"/>
      <w:marRight w:val="0"/>
      <w:marTop w:val="0"/>
      <w:marBottom w:val="0"/>
      <w:divBdr>
        <w:top w:val="none" w:sz="0" w:space="0" w:color="auto"/>
        <w:left w:val="none" w:sz="0" w:space="0" w:color="auto"/>
        <w:bottom w:val="none" w:sz="0" w:space="0" w:color="auto"/>
        <w:right w:val="none" w:sz="0" w:space="0" w:color="auto"/>
      </w:divBdr>
    </w:div>
    <w:div w:id="1128627975">
      <w:marLeft w:val="0"/>
      <w:marRight w:val="0"/>
      <w:marTop w:val="0"/>
      <w:marBottom w:val="0"/>
      <w:divBdr>
        <w:top w:val="none" w:sz="0" w:space="0" w:color="auto"/>
        <w:left w:val="none" w:sz="0" w:space="0" w:color="auto"/>
        <w:bottom w:val="none" w:sz="0" w:space="0" w:color="auto"/>
        <w:right w:val="none" w:sz="0" w:space="0" w:color="auto"/>
      </w:divBdr>
    </w:div>
    <w:div w:id="1128627976">
      <w:marLeft w:val="0"/>
      <w:marRight w:val="0"/>
      <w:marTop w:val="0"/>
      <w:marBottom w:val="0"/>
      <w:divBdr>
        <w:top w:val="none" w:sz="0" w:space="0" w:color="auto"/>
        <w:left w:val="none" w:sz="0" w:space="0" w:color="auto"/>
        <w:bottom w:val="none" w:sz="0" w:space="0" w:color="auto"/>
        <w:right w:val="none" w:sz="0" w:space="0" w:color="auto"/>
      </w:divBdr>
    </w:div>
    <w:div w:id="1128627977">
      <w:marLeft w:val="0"/>
      <w:marRight w:val="0"/>
      <w:marTop w:val="0"/>
      <w:marBottom w:val="0"/>
      <w:divBdr>
        <w:top w:val="none" w:sz="0" w:space="0" w:color="auto"/>
        <w:left w:val="none" w:sz="0" w:space="0" w:color="auto"/>
        <w:bottom w:val="none" w:sz="0" w:space="0" w:color="auto"/>
        <w:right w:val="none" w:sz="0" w:space="0" w:color="auto"/>
      </w:divBdr>
    </w:div>
    <w:div w:id="1128627978">
      <w:marLeft w:val="0"/>
      <w:marRight w:val="0"/>
      <w:marTop w:val="0"/>
      <w:marBottom w:val="0"/>
      <w:divBdr>
        <w:top w:val="none" w:sz="0" w:space="0" w:color="auto"/>
        <w:left w:val="none" w:sz="0" w:space="0" w:color="auto"/>
        <w:bottom w:val="none" w:sz="0" w:space="0" w:color="auto"/>
        <w:right w:val="none" w:sz="0" w:space="0" w:color="auto"/>
      </w:divBdr>
    </w:div>
    <w:div w:id="1128627979">
      <w:marLeft w:val="0"/>
      <w:marRight w:val="0"/>
      <w:marTop w:val="0"/>
      <w:marBottom w:val="0"/>
      <w:divBdr>
        <w:top w:val="none" w:sz="0" w:space="0" w:color="auto"/>
        <w:left w:val="none" w:sz="0" w:space="0" w:color="auto"/>
        <w:bottom w:val="none" w:sz="0" w:space="0" w:color="auto"/>
        <w:right w:val="none" w:sz="0" w:space="0" w:color="auto"/>
      </w:divBdr>
    </w:div>
    <w:div w:id="112862798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765</Words>
  <Characters>4209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 MESURER LA FLUIDITÉ SOCIALE</dc:title>
  <dc:subject/>
  <dc:creator>Sophie Loiseau</dc:creator>
  <cp:keywords/>
  <dc:description/>
  <cp:lastModifiedBy>RenaudSophie</cp:lastModifiedBy>
  <cp:revision>3</cp:revision>
  <cp:lastPrinted>2013-03-11T11:39:00Z</cp:lastPrinted>
  <dcterms:created xsi:type="dcterms:W3CDTF">2014-02-04T10:22:00Z</dcterms:created>
  <dcterms:modified xsi:type="dcterms:W3CDTF">2014-02-10T13:08:00Z</dcterms:modified>
</cp:coreProperties>
</file>